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716" w:rsidRPr="009473A8" w:rsidRDefault="0088174A" w:rsidP="001D0716">
      <w:pPr>
        <w:pStyle w:val="Title1"/>
      </w:pPr>
      <w:r w:rsidRPr="009473A8">
        <w:t xml:space="preserve">Towards </w:t>
      </w:r>
      <w:r w:rsidR="006C620C" w:rsidRPr="009473A8">
        <w:t>Spectrum</w:t>
      </w:r>
      <w:r w:rsidR="000F6127" w:rsidRPr="009473A8">
        <w:t>-</w:t>
      </w:r>
      <w:r w:rsidR="00973E24" w:rsidRPr="009473A8">
        <w:t xml:space="preserve">Programmable, Mesh-Enabled </w:t>
      </w:r>
      <w:r w:rsidR="00EA14C6" w:rsidRPr="009473A8">
        <w:t xml:space="preserve">Mobile </w:t>
      </w:r>
      <w:proofErr w:type="spellStart"/>
      <w:r w:rsidR="00EA14C6" w:rsidRPr="009473A8">
        <w:t>Xhaul</w:t>
      </w:r>
      <w:proofErr w:type="spellEnd"/>
      <w:r w:rsidR="00C432C4" w:rsidRPr="009473A8">
        <w:t xml:space="preserve"> </w:t>
      </w:r>
      <w:r w:rsidRPr="009473A8">
        <w:t xml:space="preserve">through </w:t>
      </w:r>
      <w:r w:rsidR="00EA14C6" w:rsidRPr="009473A8">
        <w:t xml:space="preserve">Reconfigurable </w:t>
      </w:r>
      <w:r w:rsidR="001C75E3" w:rsidRPr="009473A8">
        <w:t>WDM Overlay</w:t>
      </w:r>
      <w:r w:rsidR="000F6127" w:rsidRPr="009473A8">
        <w:t xml:space="preserve"> in </w:t>
      </w:r>
      <w:r w:rsidR="00973E24" w:rsidRPr="009473A8">
        <w:t>Fully-</w:t>
      </w:r>
      <w:r w:rsidR="000F6127" w:rsidRPr="009473A8">
        <w:t>Passive Networks</w:t>
      </w:r>
    </w:p>
    <w:p w:rsidR="001D0716" w:rsidRPr="009473A8" w:rsidRDefault="001B4D4A" w:rsidP="001D0716">
      <w:pPr>
        <w:pStyle w:val="Authors"/>
      </w:pPr>
      <w:r w:rsidRPr="009473A8">
        <w:t xml:space="preserve">Bernhard </w:t>
      </w:r>
      <w:proofErr w:type="spellStart"/>
      <w:r w:rsidRPr="009473A8">
        <w:t>Schrenk</w:t>
      </w:r>
      <w:proofErr w:type="spellEnd"/>
      <w:r w:rsidRPr="009473A8">
        <w:t xml:space="preserve">, </w:t>
      </w:r>
      <w:r w:rsidR="001D0716" w:rsidRPr="009473A8">
        <w:rPr>
          <w:i/>
        </w:rPr>
        <w:t>Member, IEEE</w:t>
      </w:r>
      <w:r w:rsidRPr="009473A8">
        <w:rPr>
          <w:i/>
        </w:rPr>
        <w:t xml:space="preserve">, </w:t>
      </w:r>
      <w:r w:rsidRPr="009473A8">
        <w:t xml:space="preserve">Thomas </w:t>
      </w:r>
      <w:proofErr w:type="spellStart"/>
      <w:r w:rsidRPr="009473A8">
        <w:t>Lorünser</w:t>
      </w:r>
      <w:proofErr w:type="spellEnd"/>
      <w:r w:rsidRPr="009473A8">
        <w:t xml:space="preserve">, Thomas </w:t>
      </w:r>
      <w:proofErr w:type="spellStart"/>
      <w:r w:rsidRPr="009473A8">
        <w:t>Zemen</w:t>
      </w:r>
      <w:proofErr w:type="spellEnd"/>
      <w:r w:rsidR="00BE39B9" w:rsidRPr="009473A8">
        <w:t xml:space="preserve">, </w:t>
      </w:r>
      <w:r w:rsidR="00BE39B9" w:rsidRPr="009473A8">
        <w:rPr>
          <w:i/>
        </w:rPr>
        <w:t>Senior Member, IEEE</w:t>
      </w:r>
    </w:p>
    <w:p w:rsidR="001B4D4A" w:rsidRPr="009473A8" w:rsidRDefault="001B4D4A" w:rsidP="001B4D4A">
      <w:pPr>
        <w:pStyle w:val="Afiliations"/>
      </w:pPr>
      <w:r w:rsidRPr="009473A8">
        <w:t xml:space="preserve">AIT Austrian Institute of Technology, Dept. Digital </w:t>
      </w:r>
      <w:proofErr w:type="spellStart"/>
      <w:r w:rsidRPr="009473A8">
        <w:t>Safety&amp;Security</w:t>
      </w:r>
      <w:proofErr w:type="spellEnd"/>
      <w:r w:rsidRPr="009473A8">
        <w:t xml:space="preserve"> / Optical Quantum Technology</w:t>
      </w:r>
      <w:r w:rsidRPr="009473A8">
        <w:br/>
      </w:r>
      <w:proofErr w:type="spellStart"/>
      <w:r w:rsidRPr="009473A8">
        <w:t>Donau</w:t>
      </w:r>
      <w:proofErr w:type="spellEnd"/>
      <w:r w:rsidRPr="009473A8">
        <w:t xml:space="preserve">-City </w:t>
      </w:r>
      <w:proofErr w:type="spellStart"/>
      <w:r w:rsidRPr="009473A8">
        <w:t>Strasse</w:t>
      </w:r>
      <w:proofErr w:type="spellEnd"/>
      <w:r w:rsidRPr="009473A8">
        <w:t xml:space="preserve"> 1, A-1220 Vienna, Austria</w:t>
      </w:r>
    </w:p>
    <w:p w:rsidR="001B4D4A" w:rsidRPr="009473A8" w:rsidRDefault="001B4D4A" w:rsidP="001B4D4A">
      <w:pPr>
        <w:pStyle w:val="Afiliations"/>
      </w:pPr>
      <w:r w:rsidRPr="009473A8">
        <w:t>Tel: +43 50550-4131, Fax: +43 50550-4190, e-mail: bernhard.schrenk@ait.ac.at</w:t>
      </w:r>
    </w:p>
    <w:p w:rsidR="001D0716" w:rsidRPr="009473A8" w:rsidRDefault="001D0716" w:rsidP="001D0716">
      <w:pPr>
        <w:pStyle w:val="Afiliations"/>
      </w:pPr>
    </w:p>
    <w:p w:rsidR="001D0716" w:rsidRPr="009473A8" w:rsidRDefault="001D0716" w:rsidP="001D0716">
      <w:pPr>
        <w:pStyle w:val="Abstracttitle"/>
      </w:pPr>
      <w:r w:rsidRPr="009473A8">
        <w:t>ABSTRACT</w:t>
      </w:r>
    </w:p>
    <w:p w:rsidR="001D0716" w:rsidRPr="009473A8" w:rsidRDefault="000D755B" w:rsidP="001B4D4A">
      <w:r w:rsidRPr="009473A8">
        <w:t>A s</w:t>
      </w:r>
      <w:r w:rsidR="00235662" w:rsidRPr="009473A8">
        <w:t>cheme for flexible networking is presented for</w:t>
      </w:r>
      <w:r w:rsidRPr="009473A8">
        <w:t xml:space="preserve"> the mobile fro</w:t>
      </w:r>
      <w:r w:rsidR="00235662" w:rsidRPr="009473A8">
        <w:t>nt- and/or backhaul</w:t>
      </w:r>
      <w:r w:rsidRPr="009473A8">
        <w:t xml:space="preserve">. Reconfigurable add/drop nodes are employed at the fibre plant to enable dynamic bandwidth allocation at wavelength </w:t>
      </w:r>
      <w:r w:rsidR="00235662" w:rsidRPr="009473A8">
        <w:t>level</w:t>
      </w:r>
      <w:r w:rsidRPr="009473A8">
        <w:t xml:space="preserve">, </w:t>
      </w:r>
      <w:r w:rsidR="00185CEC" w:rsidRPr="009473A8">
        <w:t xml:space="preserve">as well as </w:t>
      </w:r>
      <w:r w:rsidRPr="009473A8">
        <w:t xml:space="preserve">feeder protection and the formation of virtual optical networks. With these functionalities available capacity at the mobile backhaul can be distributed </w:t>
      </w:r>
      <w:r w:rsidR="00580C4B" w:rsidRPr="009473A8">
        <w:t xml:space="preserve">among </w:t>
      </w:r>
      <w:proofErr w:type="spellStart"/>
      <w:r w:rsidR="00185CEC" w:rsidRPr="009473A8">
        <w:t>datacentres</w:t>
      </w:r>
      <w:proofErr w:type="spellEnd"/>
      <w:r w:rsidR="00185CEC" w:rsidRPr="009473A8">
        <w:t xml:space="preserve"> of </w:t>
      </w:r>
      <w:r w:rsidR="00580C4B" w:rsidRPr="009473A8">
        <w:t>cloud</w:t>
      </w:r>
      <w:r w:rsidR="00185CEC" w:rsidRPr="009473A8">
        <w:t xml:space="preserve"> radio access network (</w:t>
      </w:r>
      <w:r w:rsidR="00580C4B" w:rsidRPr="009473A8">
        <w:t>RAN</w:t>
      </w:r>
      <w:r w:rsidR="00185CEC" w:rsidRPr="009473A8">
        <w:t>)</w:t>
      </w:r>
      <w:r w:rsidR="00580C4B" w:rsidRPr="009473A8">
        <w:t xml:space="preserve"> in order </w:t>
      </w:r>
      <w:r w:rsidR="00235662" w:rsidRPr="009473A8">
        <w:t xml:space="preserve">to adapt to </w:t>
      </w:r>
      <w:r w:rsidRPr="009473A8">
        <w:t>actual load conditions at the baseband units</w:t>
      </w:r>
      <w:r w:rsidR="00185CEC" w:rsidRPr="009473A8">
        <w:t xml:space="preserve"> (BBU)</w:t>
      </w:r>
      <w:r w:rsidRPr="009473A8">
        <w:t xml:space="preserve">. </w:t>
      </w:r>
      <w:r w:rsidR="00580C4B" w:rsidRPr="009473A8">
        <w:t xml:space="preserve">Moreover, the ability to form </w:t>
      </w:r>
      <w:r w:rsidR="00235662" w:rsidRPr="009473A8">
        <w:t>virtual point-to-point links</w:t>
      </w:r>
      <w:r w:rsidR="00580C4B" w:rsidRPr="009473A8">
        <w:t xml:space="preserve"> between </w:t>
      </w:r>
      <w:proofErr w:type="spellStart"/>
      <w:r w:rsidR="00580C4B" w:rsidRPr="009473A8">
        <w:t>BBUs</w:t>
      </w:r>
      <w:proofErr w:type="spellEnd"/>
      <w:r w:rsidR="00580C4B" w:rsidRPr="009473A8">
        <w:t xml:space="preserve"> belonging to different cloud-</w:t>
      </w:r>
      <w:proofErr w:type="spellStart"/>
      <w:r w:rsidR="00580C4B" w:rsidRPr="009473A8">
        <w:t>RANs</w:t>
      </w:r>
      <w:proofErr w:type="spellEnd"/>
      <w:r w:rsidR="00580C4B" w:rsidRPr="009473A8">
        <w:t xml:space="preserve"> </w:t>
      </w:r>
      <w:r w:rsidR="00185CEC" w:rsidRPr="009473A8">
        <w:t>as well as</w:t>
      </w:r>
      <w:r w:rsidR="00580C4B" w:rsidRPr="009473A8">
        <w:t xml:space="preserve"> between remote radio heads and baseband units of different cloud-RAN entities can optimize the utilization of network resources as a whole. The key to do so is a </w:t>
      </w:r>
      <w:r w:rsidR="00185CEC" w:rsidRPr="009473A8">
        <w:t>mobile front-/backhaul leveraged by reconfigurable optical add/drop multiplexers (ROADM). To the first time en</w:t>
      </w:r>
      <w:r w:rsidRPr="009473A8">
        <w:t xml:space="preserve">ergy harvesting is applied to </w:t>
      </w:r>
      <w:r w:rsidR="00185CEC" w:rsidRPr="009473A8">
        <w:t xml:space="preserve">provide this functionality while </w:t>
      </w:r>
      <w:r w:rsidR="00235662" w:rsidRPr="009473A8">
        <w:t>retain</w:t>
      </w:r>
      <w:r w:rsidR="00185CEC" w:rsidRPr="009473A8">
        <w:t>ing</w:t>
      </w:r>
      <w:r w:rsidRPr="009473A8">
        <w:t xml:space="preserve"> a fully-passive optical network.</w:t>
      </w:r>
    </w:p>
    <w:p w:rsidR="001D0716" w:rsidRPr="009473A8" w:rsidRDefault="001D0716" w:rsidP="001B4D4A">
      <w:pPr>
        <w:pStyle w:val="Keywords"/>
        <w:spacing w:before="60"/>
      </w:pPr>
      <w:r w:rsidRPr="009473A8">
        <w:rPr>
          <w:b/>
        </w:rPr>
        <w:t>Keywords</w:t>
      </w:r>
      <w:r w:rsidRPr="009473A8">
        <w:t xml:space="preserve">: </w:t>
      </w:r>
      <w:r w:rsidR="001B4D4A" w:rsidRPr="009473A8">
        <w:t xml:space="preserve">Fibre-optic communications, Passive optical networks, ROADM, Radio access networks, Mobile </w:t>
      </w:r>
      <w:proofErr w:type="spellStart"/>
      <w:r w:rsidR="001B4D4A" w:rsidRPr="009473A8">
        <w:t>fronthaul</w:t>
      </w:r>
      <w:proofErr w:type="spellEnd"/>
      <w:r w:rsidR="001B4D4A" w:rsidRPr="009473A8">
        <w:t xml:space="preserve">, </w:t>
      </w:r>
      <w:proofErr w:type="gramStart"/>
      <w:r w:rsidR="001B4D4A" w:rsidRPr="009473A8">
        <w:t>Mobile</w:t>
      </w:r>
      <w:proofErr w:type="gramEnd"/>
      <w:r w:rsidR="001B4D4A" w:rsidRPr="009473A8">
        <w:t xml:space="preserve"> backhaul</w:t>
      </w:r>
    </w:p>
    <w:p w:rsidR="001D0716" w:rsidRPr="009473A8" w:rsidRDefault="001D0716" w:rsidP="006212D2">
      <w:pPr>
        <w:pStyle w:val="Heading1"/>
      </w:pPr>
      <w:r w:rsidRPr="009473A8">
        <w:t>INTRODUCTION</w:t>
      </w:r>
    </w:p>
    <w:p w:rsidR="00DA4DBE" w:rsidRPr="009473A8" w:rsidRDefault="00DA4DBE" w:rsidP="00A44861">
      <w:pPr>
        <w:rPr>
          <w:lang w:val="en-US"/>
        </w:rPr>
      </w:pPr>
      <w:r w:rsidRPr="009473A8">
        <w:rPr>
          <w:lang w:val="en-US"/>
        </w:rPr>
        <w:t xml:space="preserve">The </w:t>
      </w:r>
      <w:r w:rsidR="00090592" w:rsidRPr="009473A8">
        <w:rPr>
          <w:lang w:val="en-US"/>
        </w:rPr>
        <w:t>leap</w:t>
      </w:r>
      <w:r w:rsidRPr="009473A8">
        <w:rPr>
          <w:lang w:val="en-US"/>
        </w:rPr>
        <w:t xml:space="preserve"> to</w:t>
      </w:r>
      <w:r w:rsidR="00090592" w:rsidRPr="009473A8">
        <w:rPr>
          <w:lang w:val="en-US"/>
        </w:rPr>
        <w:t>wards</w:t>
      </w:r>
      <w:r w:rsidRPr="009473A8">
        <w:rPr>
          <w:lang w:val="en-US"/>
        </w:rPr>
        <w:t xml:space="preserve"> 5G radio technology puts optical access and the metro aggregation network once more into the </w:t>
      </w:r>
      <w:r w:rsidR="00090592" w:rsidRPr="009473A8">
        <w:rPr>
          <w:lang w:val="en-US"/>
        </w:rPr>
        <w:t>spotlight. In order to enable</w:t>
      </w:r>
      <w:r w:rsidRPr="009473A8">
        <w:rPr>
          <w:lang w:val="en-US"/>
        </w:rPr>
        <w:t xml:space="preserve"> this next generation of </w:t>
      </w:r>
      <w:r w:rsidR="00090592" w:rsidRPr="009473A8">
        <w:rPr>
          <w:lang w:val="en-US"/>
        </w:rPr>
        <w:t xml:space="preserve">the </w:t>
      </w:r>
      <w:r w:rsidRPr="009473A8">
        <w:rPr>
          <w:lang w:val="en-US"/>
        </w:rPr>
        <w:t xml:space="preserve">broadband ecosystem, wireless and optical access technologies have to be advanced hand-in-hand. Cloud-based processing of radio signals through the so-called Cloud-RAN paradigm, which is sketched in Fig. 1, enables a more energy-efficient radio access network (RAN) </w:t>
      </w:r>
      <w:r w:rsidR="00090592" w:rsidRPr="009473A8">
        <w:rPr>
          <w:lang w:val="en-US"/>
        </w:rPr>
        <w:t>through</w:t>
      </w:r>
      <w:r w:rsidRPr="009473A8">
        <w:rPr>
          <w:lang w:val="en-US"/>
        </w:rPr>
        <w:t xml:space="preserve"> advanced coordination and interference management schemes </w:t>
      </w:r>
      <w:r w:rsidR="00F31FF0" w:rsidRPr="009473A8">
        <w:rPr>
          <w:lang w:val="en-US"/>
        </w:rPr>
        <w:t>[1</w:t>
      </w:r>
      <w:r w:rsidRPr="009473A8">
        <w:rPr>
          <w:lang w:val="en-US"/>
        </w:rPr>
        <w:t>]</w:t>
      </w:r>
      <w:r w:rsidR="008A5FE3" w:rsidRPr="009473A8">
        <w:rPr>
          <w:lang w:val="en-US"/>
        </w:rPr>
        <w:t>-[2]</w:t>
      </w:r>
      <w:r w:rsidRPr="009473A8">
        <w:rPr>
          <w:lang w:val="en-US"/>
        </w:rPr>
        <w:t xml:space="preserve">. However, a high capacity </w:t>
      </w:r>
      <w:r w:rsidR="00185CEC" w:rsidRPr="009473A8">
        <w:rPr>
          <w:lang w:val="en-US"/>
        </w:rPr>
        <w:t xml:space="preserve">link </w:t>
      </w:r>
      <w:r w:rsidRPr="009473A8">
        <w:rPr>
          <w:lang w:val="en-US"/>
        </w:rPr>
        <w:t xml:space="preserve">is required between </w:t>
      </w:r>
      <w:r w:rsidR="00185CEC" w:rsidRPr="009473A8">
        <w:rPr>
          <w:lang w:val="en-US"/>
        </w:rPr>
        <w:t xml:space="preserve">the </w:t>
      </w:r>
      <w:r w:rsidRPr="009473A8">
        <w:rPr>
          <w:lang w:val="en-US"/>
        </w:rPr>
        <w:t>remote radio head (RRH) at the antenna site and the consolidated b</w:t>
      </w:r>
      <w:r w:rsidR="000D755B" w:rsidRPr="009473A8">
        <w:rPr>
          <w:lang w:val="en-US"/>
        </w:rPr>
        <w:t>aseband</w:t>
      </w:r>
      <w:r w:rsidRPr="009473A8">
        <w:rPr>
          <w:lang w:val="en-US"/>
        </w:rPr>
        <w:t xml:space="preserve"> unit (BBU). While the backhaul </w:t>
      </w:r>
      <w:r w:rsidR="00090592" w:rsidRPr="009473A8">
        <w:rPr>
          <w:lang w:val="en-US"/>
        </w:rPr>
        <w:t>between</w:t>
      </w:r>
      <w:r w:rsidRPr="009473A8">
        <w:rPr>
          <w:lang w:val="en-US"/>
        </w:rPr>
        <w:t xml:space="preserve"> BBUs </w:t>
      </w:r>
      <w:r w:rsidR="00090592" w:rsidRPr="009473A8">
        <w:rPr>
          <w:lang w:val="en-US"/>
        </w:rPr>
        <w:t>and</w:t>
      </w:r>
      <w:r w:rsidRPr="009473A8">
        <w:rPr>
          <w:lang w:val="en-US"/>
        </w:rPr>
        <w:t xml:space="preserve"> the central office (CO) is already realized through optics, </w:t>
      </w:r>
      <w:proofErr w:type="spellStart"/>
      <w:r w:rsidRPr="009473A8">
        <w:rPr>
          <w:lang w:val="en-US"/>
        </w:rPr>
        <w:t>lightwave</w:t>
      </w:r>
      <w:proofErr w:type="spellEnd"/>
      <w:r w:rsidRPr="009473A8">
        <w:rPr>
          <w:lang w:val="en-US"/>
        </w:rPr>
        <w:t xml:space="preserve"> communication can also be an enabler for massive </w:t>
      </w:r>
      <w:proofErr w:type="spellStart"/>
      <w:r w:rsidRPr="009473A8">
        <w:rPr>
          <w:lang w:val="en-US"/>
        </w:rPr>
        <w:t>fronthaul</w:t>
      </w:r>
      <w:proofErr w:type="spellEnd"/>
      <w:r w:rsidRPr="009473A8">
        <w:rPr>
          <w:lang w:val="en-US"/>
        </w:rPr>
        <w:t xml:space="preserve"> capacity between RRH and BBU [</w:t>
      </w:r>
      <w:r w:rsidR="008A5FE3" w:rsidRPr="009473A8">
        <w:rPr>
          <w:lang w:val="en-US"/>
        </w:rPr>
        <w:t>3</w:t>
      </w:r>
      <w:r w:rsidR="00F31FF0" w:rsidRPr="009473A8">
        <w:rPr>
          <w:lang w:val="en-US"/>
        </w:rPr>
        <w:t>]</w:t>
      </w:r>
      <w:r w:rsidRPr="009473A8">
        <w:rPr>
          <w:lang w:val="en-US"/>
        </w:rPr>
        <w:t xml:space="preserve">. The maximum reach of the </w:t>
      </w:r>
      <w:proofErr w:type="spellStart"/>
      <w:r w:rsidRPr="009473A8">
        <w:rPr>
          <w:lang w:val="en-US"/>
        </w:rPr>
        <w:t>fronthaul</w:t>
      </w:r>
      <w:proofErr w:type="spellEnd"/>
      <w:r w:rsidRPr="009473A8">
        <w:rPr>
          <w:lang w:val="en-US"/>
        </w:rPr>
        <w:t xml:space="preserve"> is determined b</w:t>
      </w:r>
      <w:r w:rsidR="00090592" w:rsidRPr="009473A8">
        <w:rPr>
          <w:lang w:val="en-US"/>
        </w:rPr>
        <w:t>y the latency requirements</w:t>
      </w:r>
      <w:r w:rsidRPr="009473A8">
        <w:rPr>
          <w:lang w:val="en-US"/>
        </w:rPr>
        <w:t xml:space="preserve"> set for the </w:t>
      </w:r>
      <w:r w:rsidR="00706339" w:rsidRPr="009473A8">
        <w:rPr>
          <w:lang w:val="en-US"/>
        </w:rPr>
        <w:t>link between radio unit and BBU</w:t>
      </w:r>
      <w:r w:rsidRPr="009473A8">
        <w:rPr>
          <w:lang w:val="en-US"/>
        </w:rPr>
        <w:t xml:space="preserve">. Typically accepted </w:t>
      </w:r>
      <w:proofErr w:type="spellStart"/>
      <w:r w:rsidRPr="009473A8">
        <w:rPr>
          <w:lang w:val="en-US"/>
        </w:rPr>
        <w:t>fronthaul</w:t>
      </w:r>
      <w:proofErr w:type="spellEnd"/>
      <w:r w:rsidRPr="009473A8">
        <w:rPr>
          <w:lang w:val="en-US"/>
        </w:rPr>
        <w:t xml:space="preserve"> round-trip times of 300 µs</w:t>
      </w:r>
      <w:r w:rsidR="00090592" w:rsidRPr="009473A8">
        <w:rPr>
          <w:lang w:val="en-US"/>
        </w:rPr>
        <w:t xml:space="preserve"> correspond</w:t>
      </w:r>
      <w:r w:rsidRPr="009473A8">
        <w:rPr>
          <w:lang w:val="en-US"/>
        </w:rPr>
        <w:t xml:space="preserve"> to a reach of 40 km. On the other hand, the reach of extended PONs </w:t>
      </w:r>
      <w:r w:rsidR="0070444F" w:rsidRPr="009473A8">
        <w:rPr>
          <w:lang w:val="en-US"/>
        </w:rPr>
        <w:t xml:space="preserve">can be anticipated </w:t>
      </w:r>
      <w:r w:rsidR="00090592" w:rsidRPr="009473A8">
        <w:rPr>
          <w:lang w:val="en-US"/>
        </w:rPr>
        <w:t>with in-</w:t>
      </w:r>
      <w:r w:rsidR="0070444F" w:rsidRPr="009473A8">
        <w:rPr>
          <w:lang w:val="en-US"/>
        </w:rPr>
        <w:t>between 6</w:t>
      </w:r>
      <w:r w:rsidRPr="009473A8">
        <w:rPr>
          <w:lang w:val="en-US"/>
        </w:rPr>
        <w:t>0</w:t>
      </w:r>
      <w:r w:rsidR="0070444F" w:rsidRPr="009473A8">
        <w:rPr>
          <w:lang w:val="en-US"/>
        </w:rPr>
        <w:t xml:space="preserve"> and 100</w:t>
      </w:r>
      <w:r w:rsidRPr="009473A8">
        <w:rPr>
          <w:lang w:val="en-US"/>
        </w:rPr>
        <w:t xml:space="preserve"> km and </w:t>
      </w:r>
      <w:r w:rsidR="006639B1" w:rsidRPr="009473A8">
        <w:rPr>
          <w:lang w:val="en-US"/>
        </w:rPr>
        <w:t xml:space="preserve">is </w:t>
      </w:r>
      <w:r w:rsidRPr="009473A8">
        <w:rPr>
          <w:lang w:val="en-US"/>
        </w:rPr>
        <w:t xml:space="preserve">therefore </w:t>
      </w:r>
      <w:r w:rsidR="00090592" w:rsidRPr="009473A8">
        <w:rPr>
          <w:lang w:val="en-US"/>
        </w:rPr>
        <w:t xml:space="preserve">about </w:t>
      </w:r>
      <w:r w:rsidRPr="009473A8">
        <w:rPr>
          <w:lang w:val="en-US"/>
        </w:rPr>
        <w:t xml:space="preserve">twice as large. This means that per CO a number of at least 4 BBU pools can be expected in case of applying the cloud-RAN scheme. Spectral load balancing among the BBU pools and path protection will be a paramount </w:t>
      </w:r>
      <w:r w:rsidR="00090592" w:rsidRPr="009473A8">
        <w:rPr>
          <w:lang w:val="en-US"/>
        </w:rPr>
        <w:t>for</w:t>
      </w:r>
      <w:r w:rsidRPr="009473A8">
        <w:rPr>
          <w:lang w:val="en-US"/>
        </w:rPr>
        <w:t xml:space="preserve"> the mobile backhaul within metro-access PON</w:t>
      </w:r>
      <w:r w:rsidR="009F4DD1" w:rsidRPr="009473A8">
        <w:rPr>
          <w:lang w:val="en-US"/>
        </w:rPr>
        <w:t>s</w:t>
      </w:r>
      <w:r w:rsidRPr="009473A8">
        <w:rPr>
          <w:lang w:val="en-US"/>
        </w:rPr>
        <w:t>.</w:t>
      </w:r>
      <w:r w:rsidR="00A44861" w:rsidRPr="009473A8">
        <w:rPr>
          <w:lang w:val="en-US"/>
        </w:rPr>
        <w:t xml:space="preserve"> </w:t>
      </w:r>
      <w:r w:rsidRPr="009473A8">
        <w:rPr>
          <w:lang w:val="en-US"/>
        </w:rPr>
        <w:t xml:space="preserve">At the same time the </w:t>
      </w:r>
      <w:proofErr w:type="spellStart"/>
      <w:r w:rsidRPr="009473A8">
        <w:rPr>
          <w:lang w:val="en-US"/>
        </w:rPr>
        <w:t>fronthaul</w:t>
      </w:r>
      <w:proofErr w:type="spellEnd"/>
      <w:r w:rsidRPr="009473A8">
        <w:rPr>
          <w:lang w:val="en-US"/>
        </w:rPr>
        <w:t xml:space="preserve"> will require highly dynamic resource assignment so to adap</w:t>
      </w:r>
      <w:r w:rsidR="002A106F" w:rsidRPr="009473A8">
        <w:rPr>
          <w:lang w:val="en-US"/>
        </w:rPr>
        <w:t xml:space="preserve">t the spectral bandwidth per RRH </w:t>
      </w:r>
      <w:r w:rsidRPr="009473A8">
        <w:rPr>
          <w:lang w:val="en-US"/>
        </w:rPr>
        <w:t xml:space="preserve">as users shift between geographic hotspots. The use of mm-wave and MIMO techniques is expected to fuel the need for WDM overlay since equivalent CPRI data rates beyond 100 </w:t>
      </w:r>
      <w:proofErr w:type="spellStart"/>
      <w:r w:rsidRPr="009473A8">
        <w:rPr>
          <w:lang w:val="en-US"/>
        </w:rPr>
        <w:t>Gb</w:t>
      </w:r>
      <w:proofErr w:type="spellEnd"/>
      <w:r w:rsidRPr="009473A8">
        <w:rPr>
          <w:lang w:val="en-US"/>
        </w:rPr>
        <w:t>/s are anticipated per RRH site</w:t>
      </w:r>
      <w:r w:rsidR="00A44861" w:rsidRPr="009473A8">
        <w:rPr>
          <w:lang w:val="en-US"/>
        </w:rPr>
        <w:t xml:space="preserve"> in case of LTE and carrier aggregation</w:t>
      </w:r>
      <w:r w:rsidRPr="009473A8">
        <w:rPr>
          <w:lang w:val="en-US"/>
        </w:rPr>
        <w:t>.</w:t>
      </w:r>
      <w:r w:rsidR="00BE39B9" w:rsidRPr="009473A8">
        <w:rPr>
          <w:lang w:val="en-US"/>
        </w:rPr>
        <w:t xml:space="preserve"> </w:t>
      </w:r>
      <w:r w:rsidRPr="009473A8">
        <w:rPr>
          <w:lang w:val="en-US"/>
        </w:rPr>
        <w:t xml:space="preserve">Inter-BBU communication through virtual PON routing capability can facilitate X2 traffic for the handover of mobile users between the BBUs and the extension of particular BBU pools for mobile users not requiring low latency. This avoids to route traffic through the CO and saves therefore power consumption as o/e/o conversions and data processing are bypassed while a shorter </w:t>
      </w:r>
      <w:proofErr w:type="spellStart"/>
      <w:r w:rsidRPr="009473A8">
        <w:rPr>
          <w:lang w:val="en-US"/>
        </w:rPr>
        <w:t>lightpath</w:t>
      </w:r>
      <w:proofErr w:type="spellEnd"/>
      <w:r w:rsidRPr="009473A8">
        <w:rPr>
          <w:lang w:val="en-US"/>
        </w:rPr>
        <w:t xml:space="preserve"> is offered at the same time.</w:t>
      </w:r>
    </w:p>
    <w:p w:rsidR="00197C8B" w:rsidRPr="009473A8" w:rsidRDefault="00197C8B" w:rsidP="000F6127">
      <w:pPr>
        <w:spacing w:before="80"/>
        <w:jc w:val="center"/>
      </w:pPr>
      <w:r w:rsidRPr="009473A8">
        <w:rPr>
          <w:noProof/>
          <w:lang w:val="de-AT" w:eastAsia="de-AT"/>
        </w:rPr>
        <w:drawing>
          <wp:inline distT="0" distB="0" distL="0" distR="0">
            <wp:extent cx="2756212" cy="2050217"/>
            <wp:effectExtent l="19050" t="0" r="6038"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14045" t="43462" r="30246" b="12560"/>
                    <a:stretch>
                      <a:fillRect/>
                    </a:stretch>
                  </pic:blipFill>
                  <pic:spPr bwMode="auto">
                    <a:xfrm>
                      <a:off x="0" y="0"/>
                      <a:ext cx="2756212" cy="2050217"/>
                    </a:xfrm>
                    <a:prstGeom prst="rect">
                      <a:avLst/>
                    </a:prstGeom>
                    <a:noFill/>
                    <a:ln w="9525">
                      <a:noFill/>
                      <a:miter lim="800000"/>
                      <a:headEnd/>
                      <a:tailEnd/>
                    </a:ln>
                  </pic:spPr>
                </pic:pic>
              </a:graphicData>
            </a:graphic>
          </wp:inline>
        </w:drawing>
      </w:r>
      <w:r w:rsidRPr="009473A8">
        <w:t xml:space="preserve">  </w:t>
      </w:r>
      <w:r w:rsidRPr="009473A8">
        <w:rPr>
          <w:noProof/>
          <w:lang w:val="de-AT" w:eastAsia="de-AT"/>
        </w:rPr>
        <w:drawing>
          <wp:inline distT="0" distB="0" distL="0" distR="0">
            <wp:extent cx="2486528" cy="2060248"/>
            <wp:effectExtent l="19050" t="0" r="9022"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6710" t="5143" r="39112" b="38790"/>
                    <a:stretch>
                      <a:fillRect/>
                    </a:stretch>
                  </pic:blipFill>
                  <pic:spPr bwMode="auto">
                    <a:xfrm>
                      <a:off x="0" y="0"/>
                      <a:ext cx="2486528" cy="2060248"/>
                    </a:xfrm>
                    <a:prstGeom prst="rect">
                      <a:avLst/>
                    </a:prstGeom>
                    <a:noFill/>
                    <a:ln w="9525">
                      <a:noFill/>
                      <a:miter lim="800000"/>
                      <a:headEnd/>
                      <a:tailEnd/>
                    </a:ln>
                  </pic:spPr>
                </pic:pic>
              </a:graphicData>
            </a:graphic>
          </wp:inline>
        </w:drawing>
      </w:r>
    </w:p>
    <w:p w:rsidR="009E65F9" w:rsidRPr="009473A8" w:rsidRDefault="009E65F9" w:rsidP="009E65F9">
      <w:pPr>
        <w:pStyle w:val="Figurecaption"/>
      </w:pPr>
      <w:proofErr w:type="gramStart"/>
      <w:r w:rsidRPr="009473A8">
        <w:t>Figure 1.</w:t>
      </w:r>
      <w:proofErr w:type="gramEnd"/>
      <w:r w:rsidRPr="009473A8">
        <w:t xml:space="preserve"> </w:t>
      </w:r>
      <w:r w:rsidR="002C1648" w:rsidRPr="009473A8">
        <w:t>Flexibility brought by fully-passive reconfigurable nodes to (a) mobile backhaul and (</w:t>
      </w:r>
      <w:proofErr w:type="spellStart"/>
      <w:r w:rsidR="002C1648" w:rsidRPr="009473A8">
        <w:t>b</w:t>
      </w:r>
      <w:proofErr w:type="spellEnd"/>
      <w:r w:rsidR="002C1648" w:rsidRPr="009473A8">
        <w:t xml:space="preserve">) </w:t>
      </w:r>
      <w:proofErr w:type="spellStart"/>
      <w:r w:rsidR="002C1648" w:rsidRPr="009473A8">
        <w:t>fronthaul</w:t>
      </w:r>
      <w:proofErr w:type="spellEnd"/>
      <w:r w:rsidR="002C1648" w:rsidRPr="009473A8">
        <w:t>.</w:t>
      </w:r>
    </w:p>
    <w:p w:rsidR="00DA4DBE" w:rsidRPr="009473A8" w:rsidRDefault="00DA4DBE" w:rsidP="00DA4DBE">
      <w:pPr>
        <w:tabs>
          <w:tab w:val="left" w:pos="284"/>
        </w:tabs>
        <w:rPr>
          <w:lang w:val="en-US"/>
        </w:rPr>
      </w:pPr>
      <w:r w:rsidRPr="009473A8">
        <w:rPr>
          <w:lang w:val="en-US"/>
        </w:rPr>
        <w:lastRenderedPageBreak/>
        <w:t>In this paper we provide a fully-passive ROADM concept as possible solution to dynamic resource assignment at the front-/backhaul and for the formation of virtual networks between BBU sites while providing resiliency features on top of the previous. Needless to say</w:t>
      </w:r>
      <w:r w:rsidR="00DF68EF" w:rsidRPr="009473A8">
        <w:rPr>
          <w:lang w:val="en-US"/>
        </w:rPr>
        <w:t>,</w:t>
      </w:r>
      <w:r w:rsidRPr="009473A8">
        <w:rPr>
          <w:lang w:val="en-US"/>
        </w:rPr>
        <w:t xml:space="preserve"> conventional ROADMs as found in metro-core networks </w:t>
      </w:r>
      <w:r w:rsidR="00706339" w:rsidRPr="009473A8">
        <w:rPr>
          <w:lang w:val="en-US"/>
        </w:rPr>
        <w:t xml:space="preserve">[4] </w:t>
      </w:r>
      <w:r w:rsidRPr="009473A8">
        <w:rPr>
          <w:lang w:val="en-US"/>
        </w:rPr>
        <w:t>do not bring the required cost and energy efficiency for use in metro-access PONs. On the contrary, the proposed node</w:t>
      </w:r>
      <w:r w:rsidR="00DF68EF" w:rsidRPr="009473A8">
        <w:rPr>
          <w:lang w:val="en-US"/>
        </w:rPr>
        <w:t xml:space="preserve"> concept</w:t>
      </w:r>
      <w:r w:rsidRPr="009473A8">
        <w:rPr>
          <w:lang w:val="en-US"/>
        </w:rPr>
        <w:t xml:space="preserve"> offer</w:t>
      </w:r>
      <w:r w:rsidR="00DF68EF" w:rsidRPr="009473A8">
        <w:rPr>
          <w:lang w:val="en-US"/>
        </w:rPr>
        <w:t>s</w:t>
      </w:r>
      <w:r w:rsidRPr="009473A8">
        <w:rPr>
          <w:lang w:val="en-US"/>
        </w:rPr>
        <w:t xml:space="preserve"> </w:t>
      </w:r>
      <w:r w:rsidR="002A106F" w:rsidRPr="009473A8">
        <w:rPr>
          <w:lang w:val="en-US"/>
        </w:rPr>
        <w:t xml:space="preserve">a similar degree of </w:t>
      </w:r>
      <w:r w:rsidRPr="009473A8">
        <w:rPr>
          <w:lang w:val="en-US"/>
        </w:rPr>
        <w:t>flexible networking functionality and take</w:t>
      </w:r>
      <w:r w:rsidR="00DF68EF" w:rsidRPr="009473A8">
        <w:rPr>
          <w:lang w:val="en-US"/>
        </w:rPr>
        <w:t>s</w:t>
      </w:r>
      <w:r w:rsidRPr="009473A8">
        <w:rPr>
          <w:lang w:val="en-US"/>
        </w:rPr>
        <w:t xml:space="preserve"> advantage of energy scavenging techniques in order to obtain the required energy for resource or </w:t>
      </w:r>
      <w:proofErr w:type="spellStart"/>
      <w:r w:rsidRPr="009473A8">
        <w:rPr>
          <w:lang w:val="en-US"/>
        </w:rPr>
        <w:t>lightpath</w:t>
      </w:r>
      <w:proofErr w:type="spellEnd"/>
      <w:r w:rsidRPr="009473A8">
        <w:rPr>
          <w:lang w:val="en-US"/>
        </w:rPr>
        <w:t xml:space="preserve"> switching [</w:t>
      </w:r>
      <w:r w:rsidR="008A5FE3" w:rsidRPr="009473A8">
        <w:rPr>
          <w:lang w:val="en-US"/>
        </w:rPr>
        <w:t>5</w:t>
      </w:r>
      <w:r w:rsidRPr="009473A8">
        <w:rPr>
          <w:lang w:val="en-US"/>
        </w:rPr>
        <w:t>], which is supported and coordinated through an integrated control plane interface [</w:t>
      </w:r>
      <w:r w:rsidR="008A5FE3" w:rsidRPr="009473A8">
        <w:rPr>
          <w:lang w:val="en-US"/>
        </w:rPr>
        <w:t>6</w:t>
      </w:r>
      <w:r w:rsidRPr="009473A8">
        <w:rPr>
          <w:lang w:val="en-US"/>
        </w:rPr>
        <w:t xml:space="preserve">]. In this way flexible metro-access PONs are enabled while retaining their passiveness, meaning low capital and operating expenditures as no </w:t>
      </w:r>
      <w:r w:rsidR="005C6986" w:rsidRPr="009473A8">
        <w:rPr>
          <w:lang w:val="en-US"/>
        </w:rPr>
        <w:t xml:space="preserve">local </w:t>
      </w:r>
      <w:r w:rsidRPr="009473A8">
        <w:rPr>
          <w:lang w:val="en-US"/>
        </w:rPr>
        <w:t>electrical power supplies are required at th</w:t>
      </w:r>
      <w:r w:rsidR="00F31FF0" w:rsidRPr="009473A8">
        <w:rPr>
          <w:lang w:val="en-US"/>
        </w:rPr>
        <w:t>e optical distribution network.</w:t>
      </w:r>
    </w:p>
    <w:p w:rsidR="008E543F" w:rsidRPr="009473A8" w:rsidRDefault="00281E6A" w:rsidP="009B1F29">
      <w:pPr>
        <w:pStyle w:val="Heading1"/>
      </w:pPr>
      <w:r w:rsidRPr="009473A8">
        <w:t>LEVERAGING FRONT-/BACKHAUL FLEXIBILITY: THE FULLY-PASSIVE ROADM</w:t>
      </w:r>
    </w:p>
    <w:p w:rsidR="001342B3" w:rsidRPr="009473A8" w:rsidRDefault="001342B3" w:rsidP="001342B3">
      <w:pPr>
        <w:pStyle w:val="Text"/>
        <w:ind w:firstLine="0"/>
      </w:pPr>
      <w:r w:rsidRPr="009473A8">
        <w:t>The architecture of the proposed ROADM is presented in Fig. 2. The node is designed for two feeder and four drop ports</w:t>
      </w:r>
      <w:r w:rsidR="000E4784" w:rsidRPr="009473A8">
        <w:t>. It can be used in</w:t>
      </w:r>
      <w:r w:rsidRPr="009473A8">
        <w:t xml:space="preserve"> conventional metro-access </w:t>
      </w:r>
      <w:proofErr w:type="spellStart"/>
      <w:r w:rsidR="000E4784" w:rsidRPr="009473A8">
        <w:t>PONs</w:t>
      </w:r>
      <w:proofErr w:type="spellEnd"/>
      <w:r w:rsidR="000E4784" w:rsidRPr="009473A8">
        <w:t xml:space="preserve"> or</w:t>
      </w:r>
      <w:r w:rsidRPr="009473A8">
        <w:t xml:space="preserve"> in context of mobile back- and </w:t>
      </w:r>
      <w:proofErr w:type="spellStart"/>
      <w:r w:rsidRPr="009473A8">
        <w:t>fronthauling</w:t>
      </w:r>
      <w:proofErr w:type="spellEnd"/>
      <w:r w:rsidRPr="009473A8">
        <w:t xml:space="preserve">. </w:t>
      </w:r>
      <w:r w:rsidR="000E4784" w:rsidRPr="009473A8">
        <w:t>T</w:t>
      </w:r>
      <w:r w:rsidRPr="009473A8">
        <w:t>he ROADM is intended to handle four wavebands which are each dedicated to one of the drop ports. Optical switching is exploited within the node to (a) provide resiliency functionality towards the feeder ports, (</w:t>
      </w:r>
      <w:proofErr w:type="spellStart"/>
      <w:r w:rsidRPr="009473A8">
        <w:t>b</w:t>
      </w:r>
      <w:proofErr w:type="spellEnd"/>
      <w:r w:rsidRPr="009473A8">
        <w:t xml:space="preserve">) provide multi-casting of the wavebands to the drop ports, </w:t>
      </w:r>
      <w:proofErr w:type="gramStart"/>
      <w:r w:rsidRPr="009473A8">
        <w:t xml:space="preserve">(c) establish </w:t>
      </w:r>
      <w:proofErr w:type="spellStart"/>
      <w:r w:rsidRPr="009473A8">
        <w:t>lightpaths</w:t>
      </w:r>
      <w:proofErr w:type="spellEnd"/>
      <w:r w:rsidRPr="009473A8">
        <w:t xml:space="preserve"> between the dro</w:t>
      </w:r>
      <w:r w:rsidR="00297630" w:rsidRPr="009473A8">
        <w:t>p ports</w:t>
      </w:r>
      <w:proofErr w:type="gramEnd"/>
      <w:r w:rsidR="00297630" w:rsidRPr="009473A8">
        <w:t>. T</w:t>
      </w:r>
      <w:r w:rsidRPr="009473A8">
        <w:t>hese three fu</w:t>
      </w:r>
      <w:r w:rsidR="00297630" w:rsidRPr="009473A8">
        <w:t xml:space="preserve">nctionalities can offer </w:t>
      </w:r>
      <w:r w:rsidRPr="009473A8">
        <w:t xml:space="preserve">feeder/backhaul protection, </w:t>
      </w:r>
      <w:r w:rsidR="004A2FFD" w:rsidRPr="009473A8">
        <w:t xml:space="preserve">dynamic spectrum allocation in these domains and </w:t>
      </w:r>
      <w:r w:rsidRPr="009473A8">
        <w:t>virtual PON formation between BBU sites</w:t>
      </w:r>
      <w:r w:rsidR="004A2FFD" w:rsidRPr="009473A8">
        <w:t xml:space="preserve"> (Fig 1a)</w:t>
      </w:r>
      <w:r w:rsidRPr="009473A8">
        <w:t xml:space="preserve"> </w:t>
      </w:r>
      <w:r w:rsidR="004A2FFD" w:rsidRPr="009473A8">
        <w:t xml:space="preserve">or between RRH and BBU sites for the purpose of switching </w:t>
      </w:r>
      <w:proofErr w:type="spellStart"/>
      <w:r w:rsidR="004A2FFD" w:rsidRPr="009473A8">
        <w:t>RRHs</w:t>
      </w:r>
      <w:proofErr w:type="spellEnd"/>
      <w:r w:rsidR="004A2FFD" w:rsidRPr="009473A8">
        <w:t xml:space="preserve"> at cloud-RAN boundaries towards underutilized </w:t>
      </w:r>
      <w:proofErr w:type="spellStart"/>
      <w:r w:rsidR="004A2FFD" w:rsidRPr="009473A8">
        <w:t>BBUs</w:t>
      </w:r>
      <w:proofErr w:type="spellEnd"/>
      <w:r w:rsidR="004A2FFD" w:rsidRPr="009473A8">
        <w:t xml:space="preserve"> (Fig 1b)</w:t>
      </w:r>
      <w:r w:rsidRPr="009473A8">
        <w:t>. In case of the presented ROADM a design using CWDM channels from 1550 to 1610 nm has been chosen. Within these CWDM wavebands a number of DWDM channels can be aggregated</w:t>
      </w:r>
      <w:r w:rsidR="00AC5DC6" w:rsidRPr="009473A8">
        <w:t>, which is in-line with WDM overlay a</w:t>
      </w:r>
      <w:r w:rsidRPr="009473A8">
        <w:t>s envisaged in NG-PON2.</w:t>
      </w:r>
    </w:p>
    <w:p w:rsidR="001342B3" w:rsidRPr="009473A8" w:rsidRDefault="001342B3" w:rsidP="001342B3">
      <w:pPr>
        <w:pStyle w:val="Text"/>
        <w:tabs>
          <w:tab w:val="left" w:pos="284"/>
        </w:tabs>
        <w:ind w:firstLine="0"/>
        <w:rPr>
          <w:lang w:val="en-US"/>
        </w:rPr>
      </w:pPr>
      <w:r w:rsidRPr="009473A8">
        <w:tab/>
        <w:t>Network protec</w:t>
      </w:r>
      <w:r w:rsidR="0016656B" w:rsidRPr="009473A8">
        <w:t>tion is facilitated through a 2×</w:t>
      </w:r>
      <w:r w:rsidRPr="009473A8">
        <w:t>2 switch (</w:t>
      </w:r>
      <w:r w:rsidRPr="009473A8">
        <w:rPr>
          <w:i/>
        </w:rPr>
        <w:t>r</w:t>
      </w:r>
      <w:r w:rsidRPr="009473A8">
        <w:t>) based on latching micro-</w:t>
      </w:r>
      <w:proofErr w:type="spellStart"/>
      <w:r w:rsidRPr="009473A8">
        <w:t>opto</w:t>
      </w:r>
      <w:proofErr w:type="spellEnd"/>
      <w:r w:rsidR="00F31FF0" w:rsidRPr="009473A8">
        <w:t>-</w:t>
      </w:r>
      <w:r w:rsidRPr="009473A8">
        <w:t>electro-mechanic system (MOEMS) technolog</w:t>
      </w:r>
      <w:r w:rsidR="0016656B" w:rsidRPr="009473A8">
        <w:t xml:space="preserve">y as recently demonstrated in </w:t>
      </w:r>
      <w:r w:rsidRPr="009473A8">
        <w:t xml:space="preserve">fully-passive </w:t>
      </w:r>
      <w:r w:rsidR="0016656B" w:rsidRPr="009473A8">
        <w:t>manner</w:t>
      </w:r>
      <w:r w:rsidRPr="009473A8">
        <w:t xml:space="preserve"> [</w:t>
      </w:r>
      <w:r w:rsidR="008A5FE3" w:rsidRPr="009473A8">
        <w:t>5</w:t>
      </w:r>
      <w:r w:rsidRPr="009473A8">
        <w:t xml:space="preserve">]. The economic and ecologic meaningful principle of </w:t>
      </w:r>
      <w:proofErr w:type="spellStart"/>
      <w:r w:rsidRPr="009473A8">
        <w:t>PONs</w:t>
      </w:r>
      <w:proofErr w:type="spellEnd"/>
      <w:r w:rsidRPr="009473A8">
        <w:t xml:space="preserve"> can be thereby retained despite the introduction of electrically actuated optical networking elements. Multi-casting of wavebands </w:t>
      </w:r>
      <w:r w:rsidRPr="009473A8">
        <w:rPr>
          <w:lang w:val="en-US"/>
        </w:rPr>
        <w:t xml:space="preserve">to the drop ports is achieved by </w:t>
      </w:r>
      <w:r w:rsidRPr="009473A8">
        <w:t xml:space="preserve">routing wavebands </w:t>
      </w:r>
      <w:r w:rsidRPr="009473A8">
        <w:rPr>
          <w:lang w:val="el-GR"/>
        </w:rPr>
        <w:t>Λ</w:t>
      </w:r>
      <w:r w:rsidRPr="009473A8">
        <w:rPr>
          <w:i/>
          <w:vertAlign w:val="subscript"/>
          <w:lang w:val="en-US"/>
        </w:rPr>
        <w:t>i</w:t>
      </w:r>
      <w:r w:rsidRPr="009473A8">
        <w:rPr>
          <w:vertAlign w:val="subscript"/>
          <w:lang w:val="en-US"/>
        </w:rPr>
        <w:t>-1</w:t>
      </w:r>
      <w:r w:rsidRPr="009473A8">
        <w:rPr>
          <w:lang w:val="en-US"/>
        </w:rPr>
        <w:t xml:space="preserve"> and/or </w:t>
      </w:r>
      <w:r w:rsidRPr="009473A8">
        <w:rPr>
          <w:lang w:val="el-GR"/>
        </w:rPr>
        <w:t>Λ</w:t>
      </w:r>
      <w:r w:rsidRPr="009473A8">
        <w:rPr>
          <w:i/>
          <w:vertAlign w:val="subscript"/>
          <w:lang w:val="en-US"/>
        </w:rPr>
        <w:t>i</w:t>
      </w:r>
      <w:r w:rsidRPr="009473A8">
        <w:rPr>
          <w:vertAlign w:val="subscript"/>
          <w:lang w:val="en-US"/>
        </w:rPr>
        <w:t>+1</w:t>
      </w:r>
      <w:r w:rsidRPr="009473A8">
        <w:rPr>
          <w:lang w:val="en-US"/>
        </w:rPr>
        <w:t xml:space="preserve"> </w:t>
      </w:r>
      <w:r w:rsidRPr="009473A8">
        <w:t xml:space="preserve">adjacent to the primary waveband </w:t>
      </w:r>
      <w:r w:rsidRPr="009473A8">
        <w:rPr>
          <w:lang w:val="el-GR"/>
        </w:rPr>
        <w:t>Λ</w:t>
      </w:r>
      <w:proofErr w:type="spellStart"/>
      <w:r w:rsidRPr="009473A8">
        <w:rPr>
          <w:i/>
          <w:vertAlign w:val="subscript"/>
          <w:lang w:val="en-US"/>
        </w:rPr>
        <w:t>i</w:t>
      </w:r>
      <w:proofErr w:type="spellEnd"/>
      <w:r w:rsidRPr="009473A8">
        <w:rPr>
          <w:lang w:val="en-US"/>
        </w:rPr>
        <w:t xml:space="preserve"> of</w:t>
      </w:r>
      <w:r w:rsidRPr="009473A8">
        <w:t xml:space="preserve"> drop port </w:t>
      </w:r>
      <w:proofErr w:type="spellStart"/>
      <w:r w:rsidRPr="009473A8">
        <w:rPr>
          <w:i/>
        </w:rPr>
        <w:t>i</w:t>
      </w:r>
      <w:proofErr w:type="spellEnd"/>
      <w:r w:rsidRPr="009473A8">
        <w:rPr>
          <w:lang w:val="en-US"/>
        </w:rPr>
        <w:t xml:space="preserve"> </w:t>
      </w:r>
      <w:r w:rsidRPr="009473A8">
        <w:t xml:space="preserve">to the multiplexer of this port. This functionality is </w:t>
      </w:r>
      <w:r w:rsidR="0061260A" w:rsidRPr="009473A8">
        <w:t>enabled by a 2</w:t>
      </w:r>
      <w:r w:rsidR="0016656B" w:rsidRPr="009473A8">
        <w:t>×</w:t>
      </w:r>
      <w:r w:rsidR="0061260A" w:rsidRPr="009473A8">
        <w:t>1 MOEMS switch (</w:t>
      </w:r>
      <w:r w:rsidR="0061260A" w:rsidRPr="009473A8">
        <w:rPr>
          <w:i/>
        </w:rPr>
        <w:t>m</w:t>
      </w:r>
      <w:r w:rsidRPr="009473A8">
        <w:t xml:space="preserve">) whereas the waveband extension for a particular tree port is </w:t>
      </w:r>
      <w:r w:rsidR="0061260A" w:rsidRPr="009473A8">
        <w:t xml:space="preserve">set by four </w:t>
      </w:r>
      <w:r w:rsidR="0016656B" w:rsidRPr="009473A8">
        <w:t xml:space="preserve">individual </w:t>
      </w:r>
      <w:r w:rsidR="0061260A" w:rsidRPr="009473A8">
        <w:t>waveband switches (</w:t>
      </w:r>
      <w:r w:rsidRPr="009473A8">
        <w:rPr>
          <w:lang w:val="el-GR"/>
        </w:rPr>
        <w:t>Λ</w:t>
      </w:r>
      <w:proofErr w:type="spellStart"/>
      <w:r w:rsidRPr="009473A8">
        <w:rPr>
          <w:i/>
          <w:vertAlign w:val="subscript"/>
          <w:lang w:val="en-US"/>
        </w:rPr>
        <w:t>i</w:t>
      </w:r>
      <w:proofErr w:type="spellEnd"/>
      <w:r w:rsidRPr="009473A8">
        <w:t xml:space="preserve">) that are each dedicated to one of the spectral bands </w:t>
      </w:r>
      <w:r w:rsidRPr="009473A8">
        <w:rPr>
          <w:lang w:val="el-GR"/>
        </w:rPr>
        <w:t>Λ</w:t>
      </w:r>
      <w:r w:rsidRPr="009473A8">
        <w:rPr>
          <w:vertAlign w:val="subscript"/>
          <w:lang w:val="en-US"/>
        </w:rPr>
        <w:t>1</w:t>
      </w:r>
      <w:r w:rsidRPr="009473A8">
        <w:rPr>
          <w:lang w:val="en-US"/>
        </w:rPr>
        <w:t xml:space="preserve"> to </w:t>
      </w:r>
      <w:r w:rsidRPr="009473A8">
        <w:rPr>
          <w:lang w:val="el-GR"/>
        </w:rPr>
        <w:t>Λ</w:t>
      </w:r>
      <w:r w:rsidRPr="009473A8">
        <w:rPr>
          <w:vertAlign w:val="subscript"/>
          <w:lang w:val="en-US"/>
        </w:rPr>
        <w:t>4</w:t>
      </w:r>
      <w:r w:rsidRPr="009473A8">
        <w:t xml:space="preserve">. For example, if drop port 3 receiving </w:t>
      </w:r>
      <w:r w:rsidRPr="009473A8">
        <w:rPr>
          <w:lang w:val="el-GR"/>
        </w:rPr>
        <w:t>Λ</w:t>
      </w:r>
      <w:r w:rsidRPr="009473A8">
        <w:rPr>
          <w:vertAlign w:val="subscript"/>
          <w:lang w:val="en-US"/>
        </w:rPr>
        <w:t>3</w:t>
      </w:r>
      <w:r w:rsidRPr="009473A8">
        <w:rPr>
          <w:lang w:val="en-US"/>
        </w:rPr>
        <w:t xml:space="preserve"> </w:t>
      </w:r>
      <w:r w:rsidRPr="009473A8">
        <w:t xml:space="preserve">shall be extended by </w:t>
      </w:r>
      <w:r w:rsidRPr="009473A8">
        <w:rPr>
          <w:lang w:val="el-GR"/>
        </w:rPr>
        <w:t>Λ</w:t>
      </w:r>
      <w:r w:rsidRPr="009473A8">
        <w:rPr>
          <w:vertAlign w:val="subscript"/>
          <w:lang w:val="en-US"/>
        </w:rPr>
        <w:t>2</w:t>
      </w:r>
      <w:r w:rsidRPr="009473A8">
        <w:rPr>
          <w:lang w:val="en-US"/>
        </w:rPr>
        <w:t xml:space="preserve"> and </w:t>
      </w:r>
      <w:r w:rsidRPr="009473A8">
        <w:rPr>
          <w:lang w:val="el-GR"/>
        </w:rPr>
        <w:t>Λ</w:t>
      </w:r>
      <w:r w:rsidRPr="009473A8">
        <w:rPr>
          <w:vertAlign w:val="subscript"/>
          <w:lang w:val="en-US"/>
        </w:rPr>
        <w:t>4</w:t>
      </w:r>
      <w:r w:rsidRPr="009473A8">
        <w:t>,</w:t>
      </w:r>
      <w:r w:rsidRPr="009473A8">
        <w:rPr>
          <w:lang w:val="en-US"/>
        </w:rPr>
        <w:t xml:space="preserve"> </w:t>
      </w:r>
      <w:r w:rsidRPr="009473A8">
        <w:t xml:space="preserve">these extra wavebands are switched by the corresponding MOEMS switches to the CWDM multiplexer at drop port 3, which </w:t>
      </w:r>
      <w:r w:rsidR="0016656B" w:rsidRPr="009473A8">
        <w:t xml:space="preserve">itself </w:t>
      </w:r>
      <w:r w:rsidRPr="009473A8">
        <w:t xml:space="preserve">appears as port </w:t>
      </w:r>
      <w:r w:rsidRPr="009473A8">
        <w:rPr>
          <w:i/>
        </w:rPr>
        <w:t>i</w:t>
      </w:r>
      <w:r w:rsidRPr="009473A8">
        <w:t xml:space="preserve">+1 and </w:t>
      </w:r>
      <w:r w:rsidRPr="009473A8">
        <w:rPr>
          <w:i/>
        </w:rPr>
        <w:t>i</w:t>
      </w:r>
      <w:r w:rsidRPr="009473A8">
        <w:t xml:space="preserve">-1 for these wavebands. On the other hand, </w:t>
      </w:r>
      <w:r w:rsidRPr="009473A8">
        <w:rPr>
          <w:lang w:val="el-GR"/>
        </w:rPr>
        <w:t>Λ</w:t>
      </w:r>
      <w:r w:rsidRPr="009473A8">
        <w:rPr>
          <w:vertAlign w:val="subscript"/>
          <w:lang w:val="en-US"/>
        </w:rPr>
        <w:t>3</w:t>
      </w:r>
      <w:r w:rsidR="0016656B" w:rsidRPr="009473A8">
        <w:rPr>
          <w:lang w:val="en-US"/>
        </w:rPr>
        <w:t xml:space="preserve"> can be </w:t>
      </w:r>
      <w:r w:rsidRPr="009473A8">
        <w:rPr>
          <w:lang w:val="en-US"/>
        </w:rPr>
        <w:t xml:space="preserve">shared with </w:t>
      </w:r>
      <w:r w:rsidRPr="009473A8">
        <w:t>drop ports</w:t>
      </w:r>
      <w:r w:rsidRPr="009473A8">
        <w:rPr>
          <w:lang w:val="en-US"/>
        </w:rPr>
        <w:t xml:space="preserve"> 2 and 4.</w:t>
      </w:r>
    </w:p>
    <w:p w:rsidR="001342B3" w:rsidRPr="009473A8" w:rsidRDefault="001342B3" w:rsidP="006F4B8D">
      <w:pPr>
        <w:pStyle w:val="Text"/>
        <w:tabs>
          <w:tab w:val="left" w:pos="284"/>
        </w:tabs>
        <w:spacing w:after="120"/>
        <w:ind w:firstLine="0"/>
      </w:pPr>
      <w:r w:rsidRPr="009473A8">
        <w:tab/>
        <w:t xml:space="preserve">Finally, virtual </w:t>
      </w:r>
      <w:proofErr w:type="spellStart"/>
      <w:r w:rsidRPr="009473A8">
        <w:t>PONs</w:t>
      </w:r>
      <w:proofErr w:type="spellEnd"/>
      <w:r w:rsidRPr="009473A8">
        <w:t xml:space="preserve"> can be formed between the drop ports in order to link BBU sites for the purpose of load sharing. This functionality is supported through a loop configuration that incorporates </w:t>
      </w:r>
      <w:proofErr w:type="gramStart"/>
      <w:r w:rsidRPr="009473A8">
        <w:t xml:space="preserve">the </w:t>
      </w:r>
      <w:proofErr w:type="spellStart"/>
      <w:r w:rsidRPr="009473A8">
        <w:rPr>
          <w:i/>
        </w:rPr>
        <w:t>i</w:t>
      </w:r>
      <w:proofErr w:type="spellEnd"/>
      <w:proofErr w:type="gramEnd"/>
      <w:r w:rsidRPr="009473A8">
        <w:t xml:space="preserve">, </w:t>
      </w:r>
      <w:r w:rsidRPr="009473A8">
        <w:rPr>
          <w:i/>
        </w:rPr>
        <w:t>m</w:t>
      </w:r>
      <w:r w:rsidRPr="009473A8">
        <w:t xml:space="preserve"> and </w:t>
      </w:r>
      <w:r w:rsidRPr="009473A8">
        <w:rPr>
          <w:lang w:val="el-GR"/>
        </w:rPr>
        <w:t>Λ</w:t>
      </w:r>
      <w:proofErr w:type="spellStart"/>
      <w:r w:rsidRPr="009473A8">
        <w:rPr>
          <w:i/>
          <w:vertAlign w:val="subscript"/>
          <w:lang w:val="en-US"/>
        </w:rPr>
        <w:t>i</w:t>
      </w:r>
      <w:proofErr w:type="spellEnd"/>
      <w:r w:rsidRPr="009473A8">
        <w:rPr>
          <w:lang w:val="en-US"/>
        </w:rPr>
        <w:t xml:space="preserve"> </w:t>
      </w:r>
      <w:r w:rsidRPr="009473A8">
        <w:t xml:space="preserve">MOEMS </w:t>
      </w:r>
      <w:r w:rsidRPr="009473A8">
        <w:rPr>
          <w:lang w:val="en-US"/>
        </w:rPr>
        <w:t>switches.</w:t>
      </w:r>
      <w:r w:rsidRPr="009473A8">
        <w:t xml:space="preserve"> For example, </w:t>
      </w:r>
      <w:r w:rsidR="0016656B" w:rsidRPr="009473A8">
        <w:t>if</w:t>
      </w:r>
      <w:r w:rsidRPr="009473A8">
        <w:t xml:space="preserve"> a link between drop ports 3 and 1 shall be established, either waveband </w:t>
      </w:r>
      <w:r w:rsidRPr="009473A8">
        <w:rPr>
          <w:lang w:val="el-GR"/>
        </w:rPr>
        <w:t>Λ</w:t>
      </w:r>
      <w:r w:rsidRPr="009473A8">
        <w:rPr>
          <w:vertAlign w:val="subscript"/>
          <w:lang w:val="en-US"/>
        </w:rPr>
        <w:t>2</w:t>
      </w:r>
      <w:r w:rsidRPr="009473A8">
        <w:t xml:space="preserve"> or </w:t>
      </w:r>
      <w:r w:rsidRPr="009473A8">
        <w:rPr>
          <w:lang w:val="el-GR"/>
        </w:rPr>
        <w:t>Λ</w:t>
      </w:r>
      <w:r w:rsidRPr="009473A8">
        <w:rPr>
          <w:vertAlign w:val="subscript"/>
          <w:lang w:val="en-US"/>
        </w:rPr>
        <w:t>4</w:t>
      </w:r>
      <w:r w:rsidRPr="009473A8">
        <w:t xml:space="preserve"> can be used since both wavebands are (cyclic) adjacent to these drop ports, meaning that these wavebands connect to both ports through the CWDM multiplexers “inter” and “multi”. The 50/50 split loss at the feeder-side input of the ROADM that is used to enable multi-cast functionality can be bypassed through the MOEMS switches </w:t>
      </w:r>
      <w:proofErr w:type="spellStart"/>
      <w:r w:rsidRPr="009473A8">
        <w:rPr>
          <w:i/>
        </w:rPr>
        <w:t>i</w:t>
      </w:r>
      <w:proofErr w:type="spellEnd"/>
      <w:r w:rsidRPr="009473A8">
        <w:t xml:space="preserve"> and </w:t>
      </w:r>
      <w:r w:rsidRPr="009473A8">
        <w:rPr>
          <w:i/>
        </w:rPr>
        <w:t>m</w:t>
      </w:r>
      <w:r w:rsidRPr="009473A8">
        <w:t xml:space="preserve"> in case that multi-cast operation is not required at the same time.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6130"/>
        <w:gridCol w:w="3156"/>
      </w:tblGrid>
      <w:tr w:rsidR="00D14E7C" w:rsidRPr="009473A8" w:rsidTr="005D0B81">
        <w:tc>
          <w:tcPr>
            <w:tcW w:w="6130" w:type="dxa"/>
          </w:tcPr>
          <w:p w:rsidR="00D14E7C" w:rsidRPr="009473A8" w:rsidRDefault="00D14E7C" w:rsidP="00572C24">
            <w:pPr>
              <w:pStyle w:val="Text"/>
              <w:ind w:firstLine="0"/>
              <w:jc w:val="center"/>
            </w:pPr>
            <w:r w:rsidRPr="009473A8">
              <w:rPr>
                <w:noProof/>
                <w:lang w:val="de-AT" w:eastAsia="de-AT"/>
              </w:rPr>
              <w:drawing>
                <wp:inline distT="0" distB="0" distL="0" distR="0">
                  <wp:extent cx="3735744" cy="216334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524" r="3624"/>
                          <a:stretch>
                            <a:fillRect/>
                          </a:stretch>
                        </pic:blipFill>
                        <pic:spPr bwMode="auto">
                          <a:xfrm>
                            <a:off x="0" y="0"/>
                            <a:ext cx="3735744" cy="2163342"/>
                          </a:xfrm>
                          <a:prstGeom prst="rect">
                            <a:avLst/>
                          </a:prstGeom>
                          <a:noFill/>
                          <a:ln w="9525">
                            <a:noFill/>
                            <a:miter lim="800000"/>
                            <a:headEnd/>
                            <a:tailEnd/>
                          </a:ln>
                        </pic:spPr>
                      </pic:pic>
                    </a:graphicData>
                  </a:graphic>
                </wp:inline>
              </w:drawing>
            </w:r>
          </w:p>
          <w:p w:rsidR="00D14E7C" w:rsidRPr="009473A8" w:rsidRDefault="00D14E7C" w:rsidP="006F4B8D">
            <w:pPr>
              <w:pStyle w:val="Figurecaption"/>
            </w:pPr>
            <w:r w:rsidRPr="009473A8">
              <w:t xml:space="preserve">Figure 2. </w:t>
            </w:r>
            <w:r w:rsidR="00281E6A" w:rsidRPr="009473A8">
              <w:t>Fully-passive ROADM for flexible front-/backhauling</w:t>
            </w:r>
            <w:r w:rsidRPr="009473A8">
              <w:t xml:space="preserve">. </w:t>
            </w:r>
          </w:p>
        </w:tc>
        <w:tc>
          <w:tcPr>
            <w:tcW w:w="3156" w:type="dxa"/>
          </w:tcPr>
          <w:p w:rsidR="00D14E7C" w:rsidRPr="009473A8" w:rsidRDefault="00D14E7C" w:rsidP="00572C24">
            <w:pPr>
              <w:pStyle w:val="Text"/>
              <w:ind w:firstLine="0"/>
              <w:jc w:val="center"/>
              <w:rPr>
                <w:i/>
              </w:rPr>
            </w:pPr>
            <w:r w:rsidRPr="009473A8">
              <w:rPr>
                <w:i/>
              </w:rPr>
              <w:t xml:space="preserve">Table 1. </w:t>
            </w:r>
            <w:r w:rsidR="00281E6A" w:rsidRPr="009473A8">
              <w:rPr>
                <w:i/>
              </w:rPr>
              <w:t>Pass-through insertion losses associated to several connections to/from drop port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
              <w:gridCol w:w="293"/>
              <w:gridCol w:w="586"/>
              <w:gridCol w:w="491"/>
              <w:gridCol w:w="499"/>
              <w:gridCol w:w="481"/>
            </w:tblGrid>
            <w:tr w:rsidR="00D14E7C" w:rsidRPr="009473A8" w:rsidTr="00D148E0">
              <w:trPr>
                <w:trHeight w:val="582"/>
                <w:jc w:val="center"/>
              </w:trPr>
              <w:tc>
                <w:tcPr>
                  <w:tcW w:w="745" w:type="dxa"/>
                  <w:gridSpan w:val="2"/>
                  <w:tcBorders>
                    <w:top w:val="double" w:sz="4" w:space="0" w:color="auto"/>
                    <w:bottom w:val="single" w:sz="12" w:space="0" w:color="auto"/>
                    <w:right w:val="single" w:sz="12" w:space="0" w:color="auto"/>
                    <w:tl2br w:val="single" w:sz="4" w:space="0" w:color="auto"/>
                  </w:tcBorders>
                  <w:vAlign w:val="center"/>
                </w:tcPr>
                <w:p w:rsidR="00D14E7C" w:rsidRPr="009473A8" w:rsidRDefault="00D14E7C" w:rsidP="00D148E0">
                  <w:pPr>
                    <w:ind w:right="-1"/>
                    <w:jc w:val="right"/>
                    <w:rPr>
                      <w:szCs w:val="20"/>
                    </w:rPr>
                  </w:pPr>
                  <w:r w:rsidRPr="009473A8">
                    <w:rPr>
                      <w:szCs w:val="20"/>
                    </w:rPr>
                    <w:t>to</w:t>
                  </w:r>
                </w:p>
                <w:p w:rsidR="00D14E7C" w:rsidRPr="009473A8" w:rsidRDefault="00D14E7C" w:rsidP="00D148E0">
                  <w:pPr>
                    <w:ind w:left="-57"/>
                    <w:jc w:val="left"/>
                    <w:rPr>
                      <w:szCs w:val="20"/>
                    </w:rPr>
                  </w:pPr>
                  <w:r w:rsidRPr="009473A8">
                    <w:rPr>
                      <w:szCs w:val="20"/>
                    </w:rPr>
                    <w:t>from</w:t>
                  </w:r>
                </w:p>
              </w:tc>
              <w:tc>
                <w:tcPr>
                  <w:tcW w:w="2369" w:type="dxa"/>
                  <w:gridSpan w:val="4"/>
                  <w:tcBorders>
                    <w:top w:val="double" w:sz="4" w:space="0" w:color="auto"/>
                    <w:left w:val="single" w:sz="12" w:space="0" w:color="auto"/>
                    <w:bottom w:val="single" w:sz="12" w:space="0" w:color="auto"/>
                  </w:tcBorders>
                  <w:shd w:val="clear" w:color="auto" w:fill="auto"/>
                  <w:vAlign w:val="center"/>
                </w:tcPr>
                <w:p w:rsidR="00D14E7C" w:rsidRPr="009473A8" w:rsidRDefault="00D14E7C" w:rsidP="00D148E0">
                  <w:pPr>
                    <w:ind w:left="-111" w:right="-113"/>
                    <w:jc w:val="center"/>
                    <w:rPr>
                      <w:b/>
                      <w:szCs w:val="20"/>
                    </w:rPr>
                  </w:pPr>
                  <w:r w:rsidRPr="009473A8">
                    <w:rPr>
                      <w:b/>
                      <w:szCs w:val="20"/>
                    </w:rPr>
                    <w:t>Drop</w:t>
                  </w:r>
                </w:p>
                <w:p w:rsidR="00D14E7C" w:rsidRPr="009473A8" w:rsidRDefault="00D14E7C" w:rsidP="00D148E0">
                  <w:pPr>
                    <w:autoSpaceDE w:val="0"/>
                    <w:autoSpaceDN w:val="0"/>
                    <w:ind w:left="-111" w:right="-113"/>
                    <w:jc w:val="center"/>
                    <w:rPr>
                      <w:szCs w:val="20"/>
                    </w:rPr>
                  </w:pPr>
                  <w:r w:rsidRPr="009473A8">
                    <w:rPr>
                      <w:szCs w:val="20"/>
                    </w:rPr>
                    <w:t>3</w:t>
                  </w:r>
                </w:p>
              </w:tc>
            </w:tr>
            <w:tr w:rsidR="00D14E7C" w:rsidRPr="009473A8" w:rsidTr="00D148E0">
              <w:trPr>
                <w:trHeight w:val="198"/>
                <w:jc w:val="center"/>
              </w:trPr>
              <w:tc>
                <w:tcPr>
                  <w:tcW w:w="745" w:type="dxa"/>
                  <w:gridSpan w:val="2"/>
                  <w:tcBorders>
                    <w:right w:val="single" w:sz="12" w:space="0" w:color="auto"/>
                  </w:tcBorders>
                  <w:vAlign w:val="center"/>
                </w:tcPr>
                <w:p w:rsidR="00D14E7C" w:rsidRPr="009473A8" w:rsidRDefault="00D14E7C" w:rsidP="00D148E0">
                  <w:pPr>
                    <w:spacing w:before="30" w:after="30"/>
                    <w:ind w:left="-113" w:right="-113"/>
                    <w:jc w:val="center"/>
                    <w:rPr>
                      <w:szCs w:val="20"/>
                    </w:rPr>
                  </w:pPr>
                  <w:r w:rsidRPr="009473A8">
                    <w:rPr>
                      <w:b/>
                      <w:szCs w:val="20"/>
                    </w:rPr>
                    <w:t>Feeder</w:t>
                  </w:r>
                </w:p>
              </w:tc>
              <w:tc>
                <w:tcPr>
                  <w:tcW w:w="609" w:type="dxa"/>
                  <w:tcBorders>
                    <w:top w:val="single" w:sz="12" w:space="0" w:color="auto"/>
                    <w:left w:val="single" w:sz="12" w:space="0" w:color="auto"/>
                    <w:bottom w:val="single" w:sz="4" w:space="0" w:color="auto"/>
                    <w:right w:val="single" w:sz="4" w:space="0" w:color="auto"/>
                  </w:tcBorders>
                  <w:shd w:val="clear" w:color="auto" w:fill="auto"/>
                  <w:vAlign w:val="center"/>
                </w:tcPr>
                <w:p w:rsidR="00D14E7C" w:rsidRPr="009473A8" w:rsidRDefault="00D14E7C" w:rsidP="00D148E0">
                  <w:pPr>
                    <w:jc w:val="center"/>
                    <w:rPr>
                      <w:color w:val="808080" w:themeColor="background1" w:themeShade="80"/>
                      <w:szCs w:val="20"/>
                    </w:rPr>
                  </w:pPr>
                  <w:r w:rsidRPr="009473A8">
                    <w:rPr>
                      <w:color w:val="808080" w:themeColor="background1" w:themeShade="80"/>
                      <w:szCs w:val="20"/>
                    </w:rPr>
                    <w:t>Λ</w:t>
                  </w:r>
                  <w:r w:rsidRPr="009473A8">
                    <w:rPr>
                      <w:color w:val="808080" w:themeColor="background1" w:themeShade="80"/>
                      <w:szCs w:val="20"/>
                      <w:vertAlign w:val="subscript"/>
                    </w:rPr>
                    <w:t>1</w:t>
                  </w:r>
                  <w:r w:rsidRPr="009473A8">
                    <w:rPr>
                      <w:color w:val="808080" w:themeColor="background1" w:themeShade="80"/>
                      <w:szCs w:val="20"/>
                    </w:rPr>
                    <w:t>:</w:t>
                  </w:r>
                </w:p>
                <w:p w:rsidR="00D14E7C" w:rsidRPr="009473A8" w:rsidRDefault="00D14E7C" w:rsidP="00D148E0">
                  <w:pPr>
                    <w:jc w:val="center"/>
                    <w:rPr>
                      <w:color w:val="808080" w:themeColor="background1" w:themeShade="80"/>
                      <w:szCs w:val="20"/>
                    </w:rPr>
                  </w:pPr>
                  <w:r w:rsidRPr="009473A8">
                    <w:rPr>
                      <w:color w:val="808080" w:themeColor="background1" w:themeShade="80"/>
                      <w:szCs w:val="20"/>
                    </w:rPr>
                    <w:t>N/A</w:t>
                  </w:r>
                </w:p>
              </w:tc>
              <w:tc>
                <w:tcPr>
                  <w:tcW w:w="574" w:type="dxa"/>
                  <w:tcBorders>
                    <w:top w:val="single" w:sz="12" w:space="0" w:color="auto"/>
                    <w:left w:val="single" w:sz="4" w:space="0" w:color="auto"/>
                    <w:bottom w:val="single" w:sz="4" w:space="0" w:color="auto"/>
                    <w:right w:val="single" w:sz="4" w:space="0" w:color="auto"/>
                  </w:tcBorders>
                  <w:shd w:val="clear" w:color="auto" w:fill="99FF99"/>
                  <w:vAlign w:val="center"/>
                </w:tcPr>
                <w:p w:rsidR="00D14E7C" w:rsidRPr="009473A8" w:rsidRDefault="00D14E7C" w:rsidP="00D148E0">
                  <w:pPr>
                    <w:ind w:left="-62" w:right="-106"/>
                    <w:jc w:val="center"/>
                    <w:rPr>
                      <w:szCs w:val="20"/>
                    </w:rPr>
                  </w:pPr>
                  <w:r w:rsidRPr="009473A8">
                    <w:rPr>
                      <w:szCs w:val="20"/>
                    </w:rPr>
                    <w:t>Λ</w:t>
                  </w:r>
                  <w:r w:rsidRPr="009473A8">
                    <w:rPr>
                      <w:szCs w:val="20"/>
                      <w:vertAlign w:val="subscript"/>
                    </w:rPr>
                    <w:t>2</w:t>
                  </w:r>
                  <w:r w:rsidRPr="009473A8">
                    <w:rPr>
                      <w:szCs w:val="20"/>
                    </w:rPr>
                    <w:t xml:space="preserve">: </w:t>
                  </w:r>
                </w:p>
                <w:p w:rsidR="00D14E7C" w:rsidRPr="009473A8" w:rsidRDefault="00D14E7C" w:rsidP="00D148E0">
                  <w:pPr>
                    <w:ind w:left="-62" w:right="-106"/>
                    <w:jc w:val="center"/>
                    <w:rPr>
                      <w:color w:val="808080" w:themeColor="background1" w:themeShade="80"/>
                      <w:szCs w:val="20"/>
                    </w:rPr>
                  </w:pPr>
                  <w:r w:rsidRPr="009473A8">
                    <w:rPr>
                      <w:szCs w:val="20"/>
                    </w:rPr>
                    <w:t>-7.5</w:t>
                  </w:r>
                </w:p>
              </w:tc>
              <w:tc>
                <w:tcPr>
                  <w:tcW w:w="588" w:type="dxa"/>
                  <w:tcBorders>
                    <w:top w:val="single" w:sz="12" w:space="0" w:color="auto"/>
                    <w:left w:val="single" w:sz="4" w:space="0" w:color="auto"/>
                    <w:bottom w:val="single" w:sz="4" w:space="0" w:color="auto"/>
                    <w:right w:val="single" w:sz="4" w:space="0" w:color="auto"/>
                  </w:tcBorders>
                  <w:shd w:val="clear" w:color="auto" w:fill="FFFF00"/>
                  <w:vAlign w:val="center"/>
                </w:tcPr>
                <w:p w:rsidR="00D14E7C" w:rsidRPr="009473A8" w:rsidRDefault="00D14E7C" w:rsidP="00D148E0">
                  <w:pPr>
                    <w:ind w:left="-62" w:right="-106"/>
                    <w:jc w:val="center"/>
                    <w:rPr>
                      <w:szCs w:val="20"/>
                    </w:rPr>
                  </w:pPr>
                  <w:r w:rsidRPr="009473A8">
                    <w:rPr>
                      <w:szCs w:val="20"/>
                    </w:rPr>
                    <w:t>Λ</w:t>
                  </w:r>
                  <w:r w:rsidRPr="009473A8">
                    <w:rPr>
                      <w:szCs w:val="20"/>
                      <w:vertAlign w:val="subscript"/>
                    </w:rPr>
                    <w:t>3</w:t>
                  </w:r>
                  <w:r w:rsidRPr="009473A8">
                    <w:rPr>
                      <w:szCs w:val="20"/>
                    </w:rPr>
                    <w:t xml:space="preserve">: </w:t>
                  </w:r>
                </w:p>
                <w:p w:rsidR="00D14E7C" w:rsidRPr="009473A8" w:rsidRDefault="00D14E7C" w:rsidP="00D148E0">
                  <w:pPr>
                    <w:ind w:left="-62" w:right="-106"/>
                    <w:jc w:val="center"/>
                    <w:rPr>
                      <w:color w:val="808080" w:themeColor="background1" w:themeShade="80"/>
                      <w:szCs w:val="20"/>
                    </w:rPr>
                  </w:pPr>
                  <w:r w:rsidRPr="009473A8">
                    <w:rPr>
                      <w:szCs w:val="20"/>
                    </w:rPr>
                    <w:t>-6.9</w:t>
                  </w:r>
                </w:p>
              </w:tc>
              <w:tc>
                <w:tcPr>
                  <w:tcW w:w="598" w:type="dxa"/>
                  <w:tcBorders>
                    <w:top w:val="single" w:sz="12" w:space="0" w:color="auto"/>
                    <w:left w:val="single" w:sz="4" w:space="0" w:color="auto"/>
                  </w:tcBorders>
                  <w:shd w:val="clear" w:color="auto" w:fill="FF99FF"/>
                  <w:vAlign w:val="center"/>
                </w:tcPr>
                <w:p w:rsidR="00D14E7C" w:rsidRPr="009473A8" w:rsidRDefault="00D14E7C" w:rsidP="00D148E0">
                  <w:pPr>
                    <w:ind w:left="-108" w:right="-108"/>
                    <w:jc w:val="center"/>
                    <w:rPr>
                      <w:szCs w:val="20"/>
                    </w:rPr>
                  </w:pPr>
                  <w:r w:rsidRPr="009473A8">
                    <w:rPr>
                      <w:szCs w:val="20"/>
                    </w:rPr>
                    <w:t>Λ</w:t>
                  </w:r>
                  <w:r w:rsidRPr="009473A8">
                    <w:rPr>
                      <w:szCs w:val="20"/>
                      <w:vertAlign w:val="subscript"/>
                    </w:rPr>
                    <w:t>4</w:t>
                  </w:r>
                  <w:r w:rsidRPr="009473A8">
                    <w:rPr>
                      <w:szCs w:val="20"/>
                    </w:rPr>
                    <w:t>:</w:t>
                  </w:r>
                </w:p>
                <w:p w:rsidR="00D14E7C" w:rsidRPr="009473A8" w:rsidRDefault="00D14E7C" w:rsidP="00D148E0">
                  <w:pPr>
                    <w:ind w:left="-108" w:right="-108"/>
                    <w:jc w:val="center"/>
                    <w:rPr>
                      <w:color w:val="808080" w:themeColor="background1" w:themeShade="80"/>
                      <w:szCs w:val="20"/>
                    </w:rPr>
                  </w:pPr>
                  <w:r w:rsidRPr="009473A8">
                    <w:rPr>
                      <w:szCs w:val="20"/>
                    </w:rPr>
                    <w:t>-8.4</w:t>
                  </w:r>
                </w:p>
              </w:tc>
            </w:tr>
            <w:tr w:rsidR="00D14E7C" w:rsidRPr="009473A8" w:rsidTr="00D148E0">
              <w:trPr>
                <w:trHeight w:val="198"/>
                <w:jc w:val="center"/>
              </w:trPr>
              <w:tc>
                <w:tcPr>
                  <w:tcW w:w="389" w:type="dxa"/>
                  <w:vMerge w:val="restart"/>
                  <w:tcBorders>
                    <w:top w:val="single" w:sz="12" w:space="0" w:color="auto"/>
                    <w:right w:val="nil"/>
                  </w:tcBorders>
                  <w:textDirection w:val="btLr"/>
                  <w:vAlign w:val="center"/>
                </w:tcPr>
                <w:p w:rsidR="00D14E7C" w:rsidRPr="009473A8" w:rsidRDefault="00D14E7C" w:rsidP="00D148E0">
                  <w:pPr>
                    <w:autoSpaceDE w:val="0"/>
                    <w:autoSpaceDN w:val="0"/>
                    <w:spacing w:before="60" w:after="60"/>
                    <w:jc w:val="center"/>
                    <w:rPr>
                      <w:b/>
                      <w:szCs w:val="20"/>
                    </w:rPr>
                  </w:pPr>
                  <w:r w:rsidRPr="009473A8">
                    <w:rPr>
                      <w:b/>
                      <w:szCs w:val="20"/>
                    </w:rPr>
                    <w:t>Drop</w:t>
                  </w:r>
                </w:p>
              </w:tc>
              <w:tc>
                <w:tcPr>
                  <w:tcW w:w="356" w:type="dxa"/>
                  <w:tcBorders>
                    <w:top w:val="single" w:sz="12" w:space="0" w:color="auto"/>
                    <w:left w:val="nil"/>
                    <w:bottom w:val="single" w:sz="4" w:space="0" w:color="auto"/>
                    <w:right w:val="single" w:sz="12" w:space="0" w:color="auto"/>
                  </w:tcBorders>
                  <w:vAlign w:val="center"/>
                </w:tcPr>
                <w:p w:rsidR="00D14E7C" w:rsidRPr="009473A8" w:rsidRDefault="00D14E7C" w:rsidP="00D148E0">
                  <w:pPr>
                    <w:spacing w:before="30" w:after="30"/>
                    <w:ind w:left="-113" w:right="-113"/>
                    <w:jc w:val="center"/>
                    <w:rPr>
                      <w:szCs w:val="20"/>
                    </w:rPr>
                  </w:pPr>
                  <w:r w:rsidRPr="009473A8">
                    <w:rPr>
                      <w:szCs w:val="20"/>
                    </w:rPr>
                    <w:t>1</w:t>
                  </w:r>
                </w:p>
              </w:tc>
              <w:tc>
                <w:tcPr>
                  <w:tcW w:w="609" w:type="dxa"/>
                  <w:tcBorders>
                    <w:top w:val="single" w:sz="12" w:space="0" w:color="auto"/>
                    <w:left w:val="single" w:sz="12" w:space="0" w:color="auto"/>
                    <w:bottom w:val="single" w:sz="4" w:space="0" w:color="auto"/>
                    <w:right w:val="single" w:sz="4" w:space="0" w:color="auto"/>
                  </w:tcBorders>
                  <w:shd w:val="clear" w:color="auto" w:fill="auto"/>
                  <w:vAlign w:val="center"/>
                </w:tcPr>
                <w:p w:rsidR="00D14E7C" w:rsidRPr="009473A8" w:rsidRDefault="00D14E7C" w:rsidP="00D148E0">
                  <w:pPr>
                    <w:jc w:val="center"/>
                    <w:rPr>
                      <w:color w:val="808080" w:themeColor="background1" w:themeShade="80"/>
                      <w:szCs w:val="20"/>
                    </w:rPr>
                  </w:pPr>
                  <w:r w:rsidRPr="009473A8">
                    <w:rPr>
                      <w:color w:val="808080" w:themeColor="background1" w:themeShade="80"/>
                      <w:szCs w:val="20"/>
                    </w:rPr>
                    <w:t>Λ</w:t>
                  </w:r>
                  <w:r w:rsidRPr="009473A8">
                    <w:rPr>
                      <w:color w:val="808080" w:themeColor="background1" w:themeShade="80"/>
                      <w:szCs w:val="20"/>
                      <w:vertAlign w:val="subscript"/>
                    </w:rPr>
                    <w:t>1</w:t>
                  </w:r>
                  <w:r w:rsidRPr="009473A8">
                    <w:rPr>
                      <w:color w:val="808080" w:themeColor="background1" w:themeShade="80"/>
                      <w:szCs w:val="20"/>
                    </w:rPr>
                    <w:t>:</w:t>
                  </w:r>
                </w:p>
                <w:p w:rsidR="00D14E7C" w:rsidRPr="009473A8" w:rsidRDefault="00D14E7C" w:rsidP="00D148E0">
                  <w:pPr>
                    <w:jc w:val="center"/>
                    <w:rPr>
                      <w:color w:val="808080" w:themeColor="background1" w:themeShade="80"/>
                      <w:szCs w:val="20"/>
                    </w:rPr>
                  </w:pPr>
                  <w:r w:rsidRPr="009473A8">
                    <w:rPr>
                      <w:color w:val="808080" w:themeColor="background1" w:themeShade="80"/>
                      <w:szCs w:val="20"/>
                    </w:rPr>
                    <w:t>N/A</w:t>
                  </w:r>
                </w:p>
              </w:tc>
              <w:tc>
                <w:tcPr>
                  <w:tcW w:w="574" w:type="dxa"/>
                  <w:tcBorders>
                    <w:top w:val="single" w:sz="12" w:space="0" w:color="auto"/>
                    <w:left w:val="single" w:sz="4" w:space="0" w:color="auto"/>
                    <w:bottom w:val="single" w:sz="4" w:space="0" w:color="auto"/>
                    <w:right w:val="single" w:sz="4" w:space="0" w:color="auto"/>
                  </w:tcBorders>
                  <w:shd w:val="clear" w:color="auto" w:fill="99FF99"/>
                  <w:vAlign w:val="center"/>
                </w:tcPr>
                <w:p w:rsidR="00D14E7C" w:rsidRPr="009473A8" w:rsidRDefault="00D14E7C" w:rsidP="00D148E0">
                  <w:pPr>
                    <w:ind w:left="-62" w:right="-106"/>
                    <w:jc w:val="center"/>
                    <w:rPr>
                      <w:szCs w:val="20"/>
                    </w:rPr>
                  </w:pPr>
                  <w:r w:rsidRPr="009473A8">
                    <w:rPr>
                      <w:szCs w:val="20"/>
                    </w:rPr>
                    <w:t>Λ</w:t>
                  </w:r>
                  <w:r w:rsidRPr="009473A8">
                    <w:rPr>
                      <w:szCs w:val="20"/>
                      <w:vertAlign w:val="subscript"/>
                    </w:rPr>
                    <w:t>2</w:t>
                  </w:r>
                  <w:r w:rsidRPr="009473A8">
                    <w:rPr>
                      <w:szCs w:val="20"/>
                    </w:rPr>
                    <w:t xml:space="preserve">: </w:t>
                  </w:r>
                </w:p>
                <w:p w:rsidR="00D14E7C" w:rsidRPr="009473A8" w:rsidRDefault="00D14E7C" w:rsidP="00D148E0">
                  <w:pPr>
                    <w:ind w:left="-62" w:right="-106"/>
                    <w:jc w:val="center"/>
                    <w:rPr>
                      <w:color w:val="808080" w:themeColor="background1" w:themeShade="80"/>
                      <w:szCs w:val="20"/>
                    </w:rPr>
                  </w:pPr>
                  <w:r w:rsidRPr="009473A8">
                    <w:rPr>
                      <w:szCs w:val="20"/>
                    </w:rPr>
                    <w:t>-8.7</w:t>
                  </w:r>
                </w:p>
              </w:tc>
              <w:tc>
                <w:tcPr>
                  <w:tcW w:w="588" w:type="dxa"/>
                  <w:tcBorders>
                    <w:top w:val="single" w:sz="12" w:space="0" w:color="auto"/>
                    <w:left w:val="single" w:sz="4" w:space="0" w:color="auto"/>
                    <w:bottom w:val="single" w:sz="12" w:space="0" w:color="auto"/>
                    <w:right w:val="single" w:sz="4" w:space="0" w:color="auto"/>
                  </w:tcBorders>
                  <w:shd w:val="clear" w:color="auto" w:fill="auto"/>
                  <w:vAlign w:val="center"/>
                </w:tcPr>
                <w:p w:rsidR="00D14E7C" w:rsidRPr="009473A8" w:rsidRDefault="00D14E7C" w:rsidP="00D148E0">
                  <w:pPr>
                    <w:ind w:left="-62" w:right="-106"/>
                    <w:jc w:val="center"/>
                    <w:rPr>
                      <w:color w:val="808080" w:themeColor="background1" w:themeShade="80"/>
                      <w:szCs w:val="20"/>
                    </w:rPr>
                  </w:pPr>
                  <w:r w:rsidRPr="009473A8">
                    <w:rPr>
                      <w:color w:val="808080" w:themeColor="background1" w:themeShade="80"/>
                      <w:szCs w:val="20"/>
                    </w:rPr>
                    <w:t>Λ</w:t>
                  </w:r>
                  <w:r w:rsidRPr="009473A8">
                    <w:rPr>
                      <w:color w:val="808080" w:themeColor="background1" w:themeShade="80"/>
                      <w:szCs w:val="20"/>
                      <w:vertAlign w:val="subscript"/>
                    </w:rPr>
                    <w:t>3</w:t>
                  </w:r>
                  <w:r w:rsidRPr="009473A8">
                    <w:rPr>
                      <w:color w:val="808080" w:themeColor="background1" w:themeShade="80"/>
                      <w:szCs w:val="20"/>
                    </w:rPr>
                    <w:t xml:space="preserve">: </w:t>
                  </w:r>
                </w:p>
                <w:p w:rsidR="00D14E7C" w:rsidRPr="009473A8" w:rsidRDefault="00D14E7C" w:rsidP="00D148E0">
                  <w:pPr>
                    <w:ind w:left="-62" w:right="-106"/>
                    <w:jc w:val="center"/>
                    <w:rPr>
                      <w:color w:val="808080" w:themeColor="background1" w:themeShade="80"/>
                      <w:szCs w:val="20"/>
                    </w:rPr>
                  </w:pPr>
                  <w:r w:rsidRPr="009473A8">
                    <w:rPr>
                      <w:color w:val="808080" w:themeColor="background1" w:themeShade="80"/>
                      <w:szCs w:val="20"/>
                    </w:rPr>
                    <w:t>N/A</w:t>
                  </w:r>
                </w:p>
              </w:tc>
              <w:tc>
                <w:tcPr>
                  <w:tcW w:w="598" w:type="dxa"/>
                  <w:tcBorders>
                    <w:top w:val="single" w:sz="12" w:space="0" w:color="auto"/>
                    <w:left w:val="single" w:sz="4" w:space="0" w:color="auto"/>
                    <w:bottom w:val="single" w:sz="12" w:space="0" w:color="auto"/>
                  </w:tcBorders>
                  <w:shd w:val="clear" w:color="auto" w:fill="FF99FF"/>
                  <w:vAlign w:val="center"/>
                </w:tcPr>
                <w:p w:rsidR="00D14E7C" w:rsidRPr="009473A8" w:rsidRDefault="00D14E7C" w:rsidP="00D148E0">
                  <w:pPr>
                    <w:ind w:left="-108" w:right="-108"/>
                    <w:jc w:val="center"/>
                    <w:rPr>
                      <w:szCs w:val="20"/>
                    </w:rPr>
                  </w:pPr>
                  <w:r w:rsidRPr="009473A8">
                    <w:rPr>
                      <w:szCs w:val="20"/>
                    </w:rPr>
                    <w:t>Λ</w:t>
                  </w:r>
                  <w:r w:rsidRPr="009473A8">
                    <w:rPr>
                      <w:szCs w:val="20"/>
                      <w:vertAlign w:val="subscript"/>
                    </w:rPr>
                    <w:t>4</w:t>
                  </w:r>
                  <w:r w:rsidRPr="009473A8">
                    <w:rPr>
                      <w:szCs w:val="20"/>
                    </w:rPr>
                    <w:t>:</w:t>
                  </w:r>
                </w:p>
                <w:p w:rsidR="00D14E7C" w:rsidRPr="009473A8" w:rsidRDefault="00D14E7C" w:rsidP="00D148E0">
                  <w:pPr>
                    <w:ind w:left="-108" w:right="-108"/>
                    <w:jc w:val="center"/>
                    <w:rPr>
                      <w:color w:val="808080" w:themeColor="background1" w:themeShade="80"/>
                      <w:szCs w:val="20"/>
                    </w:rPr>
                  </w:pPr>
                  <w:r w:rsidRPr="009473A8">
                    <w:rPr>
                      <w:szCs w:val="20"/>
                    </w:rPr>
                    <w:t>-11.2</w:t>
                  </w:r>
                </w:p>
              </w:tc>
            </w:tr>
            <w:tr w:rsidR="00D14E7C" w:rsidRPr="009473A8" w:rsidTr="00D148E0">
              <w:trPr>
                <w:trHeight w:val="198"/>
                <w:jc w:val="center"/>
              </w:trPr>
              <w:tc>
                <w:tcPr>
                  <w:tcW w:w="389" w:type="dxa"/>
                  <w:vMerge/>
                  <w:tcBorders>
                    <w:right w:val="nil"/>
                  </w:tcBorders>
                  <w:textDirection w:val="btLr"/>
                  <w:vAlign w:val="center"/>
                </w:tcPr>
                <w:p w:rsidR="00D14E7C" w:rsidRPr="009473A8" w:rsidRDefault="00D14E7C" w:rsidP="00D148E0">
                  <w:pPr>
                    <w:autoSpaceDE w:val="0"/>
                    <w:autoSpaceDN w:val="0"/>
                    <w:spacing w:before="60" w:after="60"/>
                    <w:jc w:val="center"/>
                    <w:rPr>
                      <w:b/>
                      <w:szCs w:val="20"/>
                    </w:rPr>
                  </w:pPr>
                </w:p>
              </w:tc>
              <w:tc>
                <w:tcPr>
                  <w:tcW w:w="356" w:type="dxa"/>
                  <w:tcBorders>
                    <w:top w:val="single" w:sz="12" w:space="0" w:color="auto"/>
                    <w:left w:val="nil"/>
                    <w:bottom w:val="single" w:sz="4" w:space="0" w:color="auto"/>
                    <w:right w:val="single" w:sz="12" w:space="0" w:color="auto"/>
                  </w:tcBorders>
                  <w:vAlign w:val="center"/>
                </w:tcPr>
                <w:p w:rsidR="00D14E7C" w:rsidRPr="009473A8" w:rsidRDefault="00D14E7C" w:rsidP="00D148E0">
                  <w:pPr>
                    <w:spacing w:before="30" w:after="30"/>
                    <w:ind w:left="-113" w:right="-113"/>
                    <w:jc w:val="center"/>
                    <w:rPr>
                      <w:szCs w:val="20"/>
                    </w:rPr>
                  </w:pPr>
                  <w:r w:rsidRPr="009473A8">
                    <w:rPr>
                      <w:szCs w:val="20"/>
                    </w:rPr>
                    <w:t>2</w:t>
                  </w:r>
                </w:p>
              </w:tc>
              <w:tc>
                <w:tcPr>
                  <w:tcW w:w="609" w:type="dxa"/>
                  <w:tcBorders>
                    <w:top w:val="single" w:sz="12" w:space="0" w:color="auto"/>
                    <w:left w:val="single" w:sz="12" w:space="0" w:color="auto"/>
                    <w:bottom w:val="single" w:sz="4" w:space="0" w:color="auto"/>
                    <w:right w:val="single" w:sz="4" w:space="0" w:color="auto"/>
                  </w:tcBorders>
                  <w:shd w:val="clear" w:color="auto" w:fill="auto"/>
                  <w:vAlign w:val="center"/>
                </w:tcPr>
                <w:p w:rsidR="00D14E7C" w:rsidRPr="009473A8" w:rsidRDefault="00D14E7C" w:rsidP="00D148E0">
                  <w:pPr>
                    <w:jc w:val="center"/>
                    <w:rPr>
                      <w:color w:val="808080" w:themeColor="background1" w:themeShade="80"/>
                      <w:szCs w:val="20"/>
                    </w:rPr>
                  </w:pPr>
                  <w:r w:rsidRPr="009473A8">
                    <w:rPr>
                      <w:color w:val="808080" w:themeColor="background1" w:themeShade="80"/>
                      <w:szCs w:val="20"/>
                    </w:rPr>
                    <w:t>Λ</w:t>
                  </w:r>
                  <w:r w:rsidRPr="009473A8">
                    <w:rPr>
                      <w:color w:val="808080" w:themeColor="background1" w:themeShade="80"/>
                      <w:szCs w:val="20"/>
                      <w:vertAlign w:val="subscript"/>
                    </w:rPr>
                    <w:t>1</w:t>
                  </w:r>
                  <w:r w:rsidRPr="009473A8">
                    <w:rPr>
                      <w:color w:val="808080" w:themeColor="background1" w:themeShade="80"/>
                      <w:szCs w:val="20"/>
                    </w:rPr>
                    <w:t>:</w:t>
                  </w:r>
                </w:p>
                <w:p w:rsidR="00D14E7C" w:rsidRPr="009473A8" w:rsidRDefault="00D14E7C" w:rsidP="00D148E0">
                  <w:pPr>
                    <w:jc w:val="center"/>
                    <w:rPr>
                      <w:color w:val="808080" w:themeColor="background1" w:themeShade="80"/>
                      <w:szCs w:val="20"/>
                    </w:rPr>
                  </w:pPr>
                  <w:r w:rsidRPr="009473A8">
                    <w:rPr>
                      <w:color w:val="808080" w:themeColor="background1" w:themeShade="80"/>
                      <w:szCs w:val="20"/>
                    </w:rPr>
                    <w:t>N/A</w:t>
                  </w:r>
                </w:p>
              </w:tc>
              <w:tc>
                <w:tcPr>
                  <w:tcW w:w="574" w:type="dxa"/>
                  <w:tcBorders>
                    <w:top w:val="single" w:sz="12" w:space="0" w:color="auto"/>
                    <w:left w:val="single" w:sz="4" w:space="0" w:color="auto"/>
                    <w:bottom w:val="single" w:sz="12" w:space="0" w:color="auto"/>
                    <w:right w:val="single" w:sz="4" w:space="0" w:color="auto"/>
                  </w:tcBorders>
                  <w:shd w:val="clear" w:color="auto" w:fill="99FF99"/>
                  <w:vAlign w:val="center"/>
                </w:tcPr>
                <w:p w:rsidR="00D14E7C" w:rsidRPr="009473A8" w:rsidRDefault="00D14E7C" w:rsidP="00D148E0">
                  <w:pPr>
                    <w:ind w:left="-62" w:right="-106"/>
                    <w:jc w:val="center"/>
                    <w:rPr>
                      <w:szCs w:val="20"/>
                    </w:rPr>
                  </w:pPr>
                  <w:r w:rsidRPr="009473A8">
                    <w:rPr>
                      <w:szCs w:val="20"/>
                    </w:rPr>
                    <w:t>Λ</w:t>
                  </w:r>
                  <w:r w:rsidRPr="009473A8">
                    <w:rPr>
                      <w:szCs w:val="20"/>
                      <w:vertAlign w:val="subscript"/>
                    </w:rPr>
                    <w:t>2</w:t>
                  </w:r>
                  <w:r w:rsidRPr="009473A8">
                    <w:rPr>
                      <w:szCs w:val="20"/>
                    </w:rPr>
                    <w:t xml:space="preserve">: </w:t>
                  </w:r>
                </w:p>
                <w:p w:rsidR="00D14E7C" w:rsidRPr="009473A8" w:rsidRDefault="00D14E7C" w:rsidP="00D148E0">
                  <w:pPr>
                    <w:ind w:left="-62" w:right="-106"/>
                    <w:jc w:val="center"/>
                    <w:rPr>
                      <w:color w:val="808080" w:themeColor="background1" w:themeShade="80"/>
                      <w:szCs w:val="20"/>
                    </w:rPr>
                  </w:pPr>
                  <w:r w:rsidRPr="009473A8">
                    <w:rPr>
                      <w:szCs w:val="20"/>
                    </w:rPr>
                    <w:t>-11.1</w:t>
                  </w:r>
                </w:p>
              </w:tc>
              <w:tc>
                <w:tcPr>
                  <w:tcW w:w="588" w:type="dxa"/>
                  <w:tcBorders>
                    <w:top w:val="single" w:sz="12" w:space="0" w:color="auto"/>
                    <w:left w:val="single" w:sz="4" w:space="0" w:color="auto"/>
                    <w:bottom w:val="single" w:sz="12" w:space="0" w:color="auto"/>
                    <w:right w:val="single" w:sz="4" w:space="0" w:color="auto"/>
                  </w:tcBorders>
                  <w:shd w:val="clear" w:color="auto" w:fill="FFFF00"/>
                  <w:vAlign w:val="center"/>
                </w:tcPr>
                <w:p w:rsidR="00D14E7C" w:rsidRPr="009473A8" w:rsidRDefault="00D14E7C" w:rsidP="00D148E0">
                  <w:pPr>
                    <w:ind w:left="-62" w:right="-106"/>
                    <w:jc w:val="center"/>
                    <w:rPr>
                      <w:szCs w:val="20"/>
                    </w:rPr>
                  </w:pPr>
                  <w:r w:rsidRPr="009473A8">
                    <w:rPr>
                      <w:szCs w:val="20"/>
                    </w:rPr>
                    <w:t>Λ</w:t>
                  </w:r>
                  <w:r w:rsidRPr="009473A8">
                    <w:rPr>
                      <w:szCs w:val="20"/>
                      <w:vertAlign w:val="subscript"/>
                    </w:rPr>
                    <w:t>3</w:t>
                  </w:r>
                  <w:r w:rsidRPr="009473A8">
                    <w:rPr>
                      <w:szCs w:val="20"/>
                    </w:rPr>
                    <w:t xml:space="preserve">: </w:t>
                  </w:r>
                </w:p>
                <w:p w:rsidR="00D14E7C" w:rsidRPr="009473A8" w:rsidRDefault="00D14E7C" w:rsidP="00D148E0">
                  <w:pPr>
                    <w:ind w:left="-62" w:right="-106"/>
                    <w:jc w:val="center"/>
                    <w:rPr>
                      <w:color w:val="808080" w:themeColor="background1" w:themeShade="80"/>
                      <w:szCs w:val="20"/>
                    </w:rPr>
                  </w:pPr>
                  <w:r w:rsidRPr="009473A8">
                    <w:rPr>
                      <w:szCs w:val="20"/>
                    </w:rPr>
                    <w:t>-11.4</w:t>
                  </w:r>
                </w:p>
              </w:tc>
              <w:tc>
                <w:tcPr>
                  <w:tcW w:w="598" w:type="dxa"/>
                  <w:tcBorders>
                    <w:top w:val="single" w:sz="12" w:space="0" w:color="auto"/>
                    <w:left w:val="single" w:sz="4" w:space="0" w:color="auto"/>
                  </w:tcBorders>
                  <w:shd w:val="clear" w:color="auto" w:fill="auto"/>
                  <w:vAlign w:val="center"/>
                </w:tcPr>
                <w:p w:rsidR="00D14E7C" w:rsidRPr="009473A8" w:rsidRDefault="00D14E7C" w:rsidP="00D148E0">
                  <w:pPr>
                    <w:ind w:left="-108" w:right="-108"/>
                    <w:jc w:val="center"/>
                    <w:rPr>
                      <w:color w:val="808080" w:themeColor="background1" w:themeShade="80"/>
                      <w:szCs w:val="20"/>
                    </w:rPr>
                  </w:pPr>
                  <w:r w:rsidRPr="009473A8">
                    <w:rPr>
                      <w:color w:val="808080" w:themeColor="background1" w:themeShade="80"/>
                      <w:szCs w:val="20"/>
                    </w:rPr>
                    <w:t>Λ</w:t>
                  </w:r>
                  <w:r w:rsidRPr="009473A8">
                    <w:rPr>
                      <w:color w:val="808080" w:themeColor="background1" w:themeShade="80"/>
                      <w:szCs w:val="20"/>
                      <w:vertAlign w:val="subscript"/>
                    </w:rPr>
                    <w:t>4</w:t>
                  </w:r>
                  <w:r w:rsidRPr="009473A8">
                    <w:rPr>
                      <w:color w:val="808080" w:themeColor="background1" w:themeShade="80"/>
                      <w:szCs w:val="20"/>
                    </w:rPr>
                    <w:t>:</w:t>
                  </w:r>
                </w:p>
                <w:p w:rsidR="00D14E7C" w:rsidRPr="009473A8" w:rsidRDefault="00D14E7C" w:rsidP="00D148E0">
                  <w:pPr>
                    <w:ind w:left="-108" w:right="-108"/>
                    <w:jc w:val="center"/>
                    <w:rPr>
                      <w:color w:val="808080" w:themeColor="background1" w:themeShade="80"/>
                      <w:szCs w:val="20"/>
                    </w:rPr>
                  </w:pPr>
                  <w:r w:rsidRPr="009473A8">
                    <w:rPr>
                      <w:color w:val="808080" w:themeColor="background1" w:themeShade="80"/>
                      <w:szCs w:val="20"/>
                    </w:rPr>
                    <w:t>N/A</w:t>
                  </w:r>
                </w:p>
              </w:tc>
            </w:tr>
            <w:tr w:rsidR="00D14E7C" w:rsidRPr="009473A8" w:rsidTr="00D148E0">
              <w:trPr>
                <w:trHeight w:val="198"/>
                <w:jc w:val="center"/>
              </w:trPr>
              <w:tc>
                <w:tcPr>
                  <w:tcW w:w="389" w:type="dxa"/>
                  <w:vMerge/>
                  <w:tcBorders>
                    <w:bottom w:val="double" w:sz="4" w:space="0" w:color="auto"/>
                    <w:right w:val="nil"/>
                  </w:tcBorders>
                  <w:textDirection w:val="btLr"/>
                  <w:vAlign w:val="center"/>
                </w:tcPr>
                <w:p w:rsidR="00D14E7C" w:rsidRPr="009473A8" w:rsidRDefault="00D14E7C" w:rsidP="00D148E0">
                  <w:pPr>
                    <w:spacing w:before="60" w:after="60"/>
                    <w:jc w:val="center"/>
                    <w:rPr>
                      <w:b/>
                      <w:szCs w:val="20"/>
                    </w:rPr>
                  </w:pPr>
                </w:p>
              </w:tc>
              <w:tc>
                <w:tcPr>
                  <w:tcW w:w="356" w:type="dxa"/>
                  <w:tcBorders>
                    <w:top w:val="single" w:sz="12" w:space="0" w:color="auto"/>
                    <w:left w:val="nil"/>
                    <w:bottom w:val="double" w:sz="4" w:space="0" w:color="auto"/>
                    <w:right w:val="single" w:sz="12" w:space="0" w:color="auto"/>
                  </w:tcBorders>
                  <w:vAlign w:val="center"/>
                </w:tcPr>
                <w:p w:rsidR="00D14E7C" w:rsidRPr="009473A8" w:rsidRDefault="00D14E7C" w:rsidP="00D148E0">
                  <w:pPr>
                    <w:spacing w:before="30" w:after="30"/>
                    <w:ind w:left="-113" w:right="-113"/>
                    <w:jc w:val="center"/>
                    <w:rPr>
                      <w:szCs w:val="20"/>
                    </w:rPr>
                  </w:pPr>
                  <w:r w:rsidRPr="009473A8">
                    <w:rPr>
                      <w:szCs w:val="20"/>
                    </w:rPr>
                    <w:t>4</w:t>
                  </w:r>
                </w:p>
              </w:tc>
              <w:tc>
                <w:tcPr>
                  <w:tcW w:w="609" w:type="dxa"/>
                  <w:tcBorders>
                    <w:top w:val="single" w:sz="12" w:space="0" w:color="auto"/>
                    <w:left w:val="single" w:sz="12" w:space="0" w:color="auto"/>
                    <w:bottom w:val="double" w:sz="4" w:space="0" w:color="auto"/>
                    <w:right w:val="single" w:sz="4" w:space="0" w:color="auto"/>
                  </w:tcBorders>
                  <w:shd w:val="clear" w:color="auto" w:fill="auto"/>
                  <w:vAlign w:val="center"/>
                </w:tcPr>
                <w:p w:rsidR="00D14E7C" w:rsidRPr="009473A8" w:rsidRDefault="00D14E7C" w:rsidP="00D148E0">
                  <w:pPr>
                    <w:jc w:val="center"/>
                    <w:rPr>
                      <w:color w:val="808080" w:themeColor="background1" w:themeShade="80"/>
                      <w:szCs w:val="20"/>
                    </w:rPr>
                  </w:pPr>
                  <w:r w:rsidRPr="009473A8">
                    <w:rPr>
                      <w:color w:val="808080" w:themeColor="background1" w:themeShade="80"/>
                      <w:szCs w:val="20"/>
                    </w:rPr>
                    <w:t>Λ</w:t>
                  </w:r>
                  <w:r w:rsidRPr="009473A8">
                    <w:rPr>
                      <w:color w:val="808080" w:themeColor="background1" w:themeShade="80"/>
                      <w:szCs w:val="20"/>
                      <w:vertAlign w:val="subscript"/>
                    </w:rPr>
                    <w:t>1</w:t>
                  </w:r>
                  <w:r w:rsidRPr="009473A8">
                    <w:rPr>
                      <w:color w:val="808080" w:themeColor="background1" w:themeShade="80"/>
                      <w:szCs w:val="20"/>
                    </w:rPr>
                    <w:t>:</w:t>
                  </w:r>
                </w:p>
                <w:p w:rsidR="00D14E7C" w:rsidRPr="009473A8" w:rsidRDefault="00D14E7C" w:rsidP="00D148E0">
                  <w:pPr>
                    <w:jc w:val="center"/>
                    <w:rPr>
                      <w:color w:val="808080" w:themeColor="background1" w:themeShade="80"/>
                      <w:szCs w:val="20"/>
                    </w:rPr>
                  </w:pPr>
                  <w:r w:rsidRPr="009473A8">
                    <w:rPr>
                      <w:color w:val="808080" w:themeColor="background1" w:themeShade="80"/>
                      <w:szCs w:val="20"/>
                    </w:rPr>
                    <w:t>N/A</w:t>
                  </w:r>
                </w:p>
              </w:tc>
              <w:tc>
                <w:tcPr>
                  <w:tcW w:w="574" w:type="dxa"/>
                  <w:tcBorders>
                    <w:top w:val="single" w:sz="12" w:space="0" w:color="auto"/>
                    <w:left w:val="single" w:sz="4" w:space="0" w:color="auto"/>
                    <w:bottom w:val="double" w:sz="4" w:space="0" w:color="auto"/>
                    <w:right w:val="single" w:sz="4" w:space="0" w:color="auto"/>
                  </w:tcBorders>
                  <w:shd w:val="clear" w:color="auto" w:fill="auto"/>
                  <w:vAlign w:val="center"/>
                </w:tcPr>
                <w:p w:rsidR="00D14E7C" w:rsidRPr="009473A8" w:rsidRDefault="00D14E7C" w:rsidP="00D148E0">
                  <w:pPr>
                    <w:ind w:left="-62" w:right="-106"/>
                    <w:jc w:val="center"/>
                    <w:rPr>
                      <w:color w:val="808080" w:themeColor="background1" w:themeShade="80"/>
                      <w:szCs w:val="20"/>
                    </w:rPr>
                  </w:pPr>
                  <w:r w:rsidRPr="009473A8">
                    <w:rPr>
                      <w:color w:val="808080" w:themeColor="background1" w:themeShade="80"/>
                      <w:szCs w:val="20"/>
                    </w:rPr>
                    <w:t>Λ</w:t>
                  </w:r>
                  <w:r w:rsidRPr="009473A8">
                    <w:rPr>
                      <w:color w:val="808080" w:themeColor="background1" w:themeShade="80"/>
                      <w:szCs w:val="20"/>
                      <w:vertAlign w:val="subscript"/>
                    </w:rPr>
                    <w:t>2</w:t>
                  </w:r>
                  <w:r w:rsidRPr="009473A8">
                    <w:rPr>
                      <w:color w:val="808080" w:themeColor="background1" w:themeShade="80"/>
                      <w:szCs w:val="20"/>
                    </w:rPr>
                    <w:t xml:space="preserve">: </w:t>
                  </w:r>
                </w:p>
                <w:p w:rsidR="00D14E7C" w:rsidRPr="009473A8" w:rsidRDefault="00D14E7C" w:rsidP="00D148E0">
                  <w:pPr>
                    <w:ind w:left="-62" w:right="-106"/>
                    <w:jc w:val="center"/>
                    <w:rPr>
                      <w:color w:val="808080" w:themeColor="background1" w:themeShade="80"/>
                      <w:szCs w:val="20"/>
                    </w:rPr>
                  </w:pPr>
                  <w:r w:rsidRPr="009473A8">
                    <w:rPr>
                      <w:color w:val="808080" w:themeColor="background1" w:themeShade="80"/>
                      <w:szCs w:val="20"/>
                    </w:rPr>
                    <w:t>N/A</w:t>
                  </w:r>
                </w:p>
              </w:tc>
              <w:tc>
                <w:tcPr>
                  <w:tcW w:w="588" w:type="dxa"/>
                  <w:tcBorders>
                    <w:top w:val="single" w:sz="12" w:space="0" w:color="auto"/>
                    <w:left w:val="single" w:sz="4" w:space="0" w:color="auto"/>
                    <w:bottom w:val="double" w:sz="4" w:space="0" w:color="auto"/>
                    <w:right w:val="single" w:sz="4" w:space="0" w:color="auto"/>
                  </w:tcBorders>
                  <w:shd w:val="clear" w:color="auto" w:fill="FFFF00"/>
                  <w:vAlign w:val="center"/>
                </w:tcPr>
                <w:p w:rsidR="00D14E7C" w:rsidRPr="009473A8" w:rsidRDefault="00D14E7C" w:rsidP="00D148E0">
                  <w:pPr>
                    <w:ind w:left="-62" w:right="-106"/>
                    <w:jc w:val="center"/>
                    <w:rPr>
                      <w:szCs w:val="20"/>
                    </w:rPr>
                  </w:pPr>
                  <w:r w:rsidRPr="009473A8">
                    <w:rPr>
                      <w:szCs w:val="20"/>
                    </w:rPr>
                    <w:t>Λ</w:t>
                  </w:r>
                  <w:r w:rsidRPr="009473A8">
                    <w:rPr>
                      <w:szCs w:val="20"/>
                      <w:vertAlign w:val="subscript"/>
                    </w:rPr>
                    <w:t>3</w:t>
                  </w:r>
                  <w:r w:rsidRPr="009473A8">
                    <w:rPr>
                      <w:szCs w:val="20"/>
                    </w:rPr>
                    <w:t xml:space="preserve">: </w:t>
                  </w:r>
                </w:p>
                <w:p w:rsidR="00D14E7C" w:rsidRPr="009473A8" w:rsidRDefault="00D14E7C" w:rsidP="00D148E0">
                  <w:pPr>
                    <w:ind w:left="-62" w:right="-106"/>
                    <w:jc w:val="center"/>
                    <w:rPr>
                      <w:color w:val="808080" w:themeColor="background1" w:themeShade="80"/>
                      <w:szCs w:val="20"/>
                    </w:rPr>
                  </w:pPr>
                  <w:r w:rsidRPr="009473A8">
                    <w:rPr>
                      <w:szCs w:val="20"/>
                    </w:rPr>
                    <w:t>-11.5</w:t>
                  </w:r>
                </w:p>
              </w:tc>
              <w:tc>
                <w:tcPr>
                  <w:tcW w:w="598" w:type="dxa"/>
                  <w:tcBorders>
                    <w:top w:val="single" w:sz="12" w:space="0" w:color="auto"/>
                    <w:left w:val="single" w:sz="4" w:space="0" w:color="auto"/>
                    <w:bottom w:val="double" w:sz="4" w:space="0" w:color="auto"/>
                  </w:tcBorders>
                  <w:shd w:val="clear" w:color="auto" w:fill="FF99FF"/>
                  <w:vAlign w:val="center"/>
                </w:tcPr>
                <w:p w:rsidR="00D14E7C" w:rsidRPr="009473A8" w:rsidRDefault="00D14E7C" w:rsidP="00D148E0">
                  <w:pPr>
                    <w:ind w:left="-108" w:right="-108"/>
                    <w:jc w:val="center"/>
                    <w:rPr>
                      <w:szCs w:val="20"/>
                    </w:rPr>
                  </w:pPr>
                  <w:r w:rsidRPr="009473A8">
                    <w:rPr>
                      <w:szCs w:val="20"/>
                    </w:rPr>
                    <w:t>Λ</w:t>
                  </w:r>
                  <w:r w:rsidRPr="009473A8">
                    <w:rPr>
                      <w:szCs w:val="20"/>
                      <w:vertAlign w:val="subscript"/>
                    </w:rPr>
                    <w:t>4</w:t>
                  </w:r>
                  <w:r w:rsidRPr="009473A8">
                    <w:rPr>
                      <w:szCs w:val="20"/>
                    </w:rPr>
                    <w:t>:</w:t>
                  </w:r>
                </w:p>
                <w:p w:rsidR="00D14E7C" w:rsidRPr="009473A8" w:rsidRDefault="00D14E7C" w:rsidP="00D148E0">
                  <w:pPr>
                    <w:ind w:left="-108" w:right="-108"/>
                    <w:jc w:val="center"/>
                    <w:rPr>
                      <w:color w:val="808080" w:themeColor="background1" w:themeShade="80"/>
                      <w:szCs w:val="20"/>
                    </w:rPr>
                  </w:pPr>
                  <w:r w:rsidRPr="009473A8">
                    <w:rPr>
                      <w:szCs w:val="20"/>
                    </w:rPr>
                    <w:t>-11.2</w:t>
                  </w:r>
                </w:p>
              </w:tc>
            </w:tr>
          </w:tbl>
          <w:p w:rsidR="00D14E7C" w:rsidRPr="009473A8" w:rsidRDefault="00D14E7C" w:rsidP="00572C24">
            <w:pPr>
              <w:pStyle w:val="Text"/>
              <w:ind w:firstLine="0"/>
              <w:jc w:val="center"/>
            </w:pPr>
          </w:p>
        </w:tc>
      </w:tr>
    </w:tbl>
    <w:p w:rsidR="00572C24" w:rsidRPr="009473A8" w:rsidRDefault="006F4B8D" w:rsidP="006F4B8D">
      <w:pPr>
        <w:pStyle w:val="Text"/>
        <w:ind w:firstLine="0"/>
      </w:pPr>
      <w:r w:rsidRPr="009473A8">
        <w:t>A total number of seven 2</w:t>
      </w:r>
      <w:r w:rsidR="004E3698" w:rsidRPr="009473A8">
        <w:t>×</w:t>
      </w:r>
      <w:r w:rsidRPr="009473A8">
        <w:t>2 MOEMS switches and seven CWDM multiplexers is required in order to realize this 2</w:t>
      </w:r>
      <w:r w:rsidR="004E3698" w:rsidRPr="009473A8">
        <w:t>×</w:t>
      </w:r>
      <w:r w:rsidRPr="009473A8">
        <w:t>4</w:t>
      </w:r>
      <w:r w:rsidR="004E3698" w:rsidRPr="009473A8">
        <w:t xml:space="preserve"> ROADM configuration with multi</w:t>
      </w:r>
      <w:r w:rsidRPr="009473A8">
        <w:t xml:space="preserve">cast, resiliency and inter-BBU networking functionalities. At utmost importance for the ROADM is a control circuitry solely fed by optical </w:t>
      </w:r>
      <w:proofErr w:type="gramStart"/>
      <w:r w:rsidRPr="009473A8">
        <w:t>power.</w:t>
      </w:r>
      <w:proofErr w:type="gramEnd"/>
      <w:r w:rsidRPr="009473A8">
        <w:t xml:space="preserve"> This low-power electronics module </w:t>
      </w:r>
      <w:r w:rsidR="00580C4B" w:rsidRPr="009473A8">
        <w:t xml:space="preserve">is identical to that reported in </w:t>
      </w:r>
      <w:r w:rsidRPr="009473A8">
        <w:t>[</w:t>
      </w:r>
      <w:r w:rsidR="008A5FE3" w:rsidRPr="009473A8">
        <w:t>6</w:t>
      </w:r>
      <w:r w:rsidRPr="009473A8">
        <w:t xml:space="preserve">] and is able to handle control plane signals modulated onto the optical pump used for feeding the ROADM. Energy harvesting at low optical feed power levels of -9 </w:t>
      </w:r>
      <w:proofErr w:type="spellStart"/>
      <w:r w:rsidRPr="009473A8">
        <w:t>dBm</w:t>
      </w:r>
      <w:proofErr w:type="spellEnd"/>
      <w:r w:rsidRPr="009473A8">
        <w:t xml:space="preserve"> at 1480 nm is </w:t>
      </w:r>
      <w:r w:rsidRPr="009473A8">
        <w:lastRenderedPageBreak/>
        <w:t xml:space="preserve">exploited to fill capacitive charge reservoirs with low leakage through a photovoltaic stack of four PIN diodes, followed by a capacitive boost-converter. A microcontroller with an average power consumption of 1.4 µA at a supply of 1.6V is used to handle control plane messages, </w:t>
      </w:r>
      <w:r w:rsidR="004E3698" w:rsidRPr="009473A8">
        <w:t xml:space="preserve">the </w:t>
      </w:r>
      <w:r w:rsidRPr="009473A8">
        <w:t xml:space="preserve">actuation of MOEMS switches and </w:t>
      </w:r>
      <w:r w:rsidR="004E3698" w:rsidRPr="009473A8">
        <w:t xml:space="preserve">the </w:t>
      </w:r>
      <w:r w:rsidRPr="009473A8">
        <w:t>power cycling within the module. Due to the latching nature of the switches there is no steady-state power consumption in between two reconfiguration steps besides the negligibly low consumption of the node controller.</w:t>
      </w:r>
    </w:p>
    <w:p w:rsidR="005D0B81" w:rsidRPr="009473A8" w:rsidRDefault="00993F92" w:rsidP="005D0B81">
      <w:pPr>
        <w:pStyle w:val="Text"/>
        <w:spacing w:before="60"/>
        <w:ind w:firstLine="0"/>
        <w:jc w:val="center"/>
      </w:pPr>
      <w:r w:rsidRPr="009473A8">
        <w:rPr>
          <w:noProof/>
          <w:lang w:val="de-AT" w:eastAsia="de-AT"/>
        </w:rPr>
        <w:drawing>
          <wp:inline distT="0" distB="0" distL="0" distR="0">
            <wp:extent cx="4706114" cy="198239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3743" t="16899" r="30838" b="46521"/>
                    <a:stretch>
                      <a:fillRect/>
                    </a:stretch>
                  </pic:blipFill>
                  <pic:spPr bwMode="auto">
                    <a:xfrm>
                      <a:off x="0" y="0"/>
                      <a:ext cx="4706114" cy="1982396"/>
                    </a:xfrm>
                    <a:prstGeom prst="rect">
                      <a:avLst/>
                    </a:prstGeom>
                    <a:noFill/>
                    <a:ln w="9525">
                      <a:noFill/>
                      <a:miter lim="800000"/>
                      <a:headEnd/>
                      <a:tailEnd/>
                    </a:ln>
                  </pic:spPr>
                </pic:pic>
              </a:graphicData>
            </a:graphic>
          </wp:inline>
        </w:drawing>
      </w:r>
    </w:p>
    <w:p w:rsidR="00572C24" w:rsidRPr="009473A8" w:rsidRDefault="00572C24" w:rsidP="00993F92">
      <w:pPr>
        <w:pStyle w:val="Figurecaption"/>
      </w:pPr>
      <w:proofErr w:type="gramStart"/>
      <w:r w:rsidRPr="009473A8">
        <w:t>Figure 3.</w:t>
      </w:r>
      <w:proofErr w:type="gramEnd"/>
      <w:r w:rsidRPr="009473A8">
        <w:t xml:space="preserve"> </w:t>
      </w:r>
      <w:proofErr w:type="gramStart"/>
      <w:r w:rsidR="00281E6A" w:rsidRPr="009473A8">
        <w:t>Transmission characteristics for the ROADM.</w:t>
      </w:r>
      <w:proofErr w:type="gramEnd"/>
      <w:r w:rsidR="00281E6A" w:rsidRPr="009473A8">
        <w:t xml:space="preserve"> </w:t>
      </w:r>
      <w:proofErr w:type="gramStart"/>
      <w:r w:rsidR="00281E6A" w:rsidRPr="009473A8">
        <w:t>(a) Dedicated waveband per drop port,</w:t>
      </w:r>
      <w:r w:rsidR="00281E6A" w:rsidRPr="009473A8">
        <w:br/>
        <w:t xml:space="preserve"> (</w:t>
      </w:r>
      <w:proofErr w:type="spellStart"/>
      <w:r w:rsidR="00281E6A" w:rsidRPr="009473A8">
        <w:t>b</w:t>
      </w:r>
      <w:proofErr w:type="spellEnd"/>
      <w:r w:rsidR="00281E6A" w:rsidRPr="009473A8">
        <w:t>) multicasting at drop port 3, (c) inter-BBU connections to and from drop port 3.</w:t>
      </w:r>
      <w:proofErr w:type="gramEnd"/>
      <w:r w:rsidRPr="009473A8">
        <w:t xml:space="preserve">  </w:t>
      </w:r>
    </w:p>
    <w:p w:rsidR="007E51B1" w:rsidRPr="009473A8" w:rsidRDefault="007E51B1" w:rsidP="007E51B1">
      <w:pPr>
        <w:pStyle w:val="Text"/>
        <w:ind w:firstLine="0"/>
      </w:pPr>
      <w:r w:rsidRPr="009473A8">
        <w:t>The transmission spectra between feeder and drop ports are shown in Fig. 3a while those between drop ports are presented in Fig. 3</w:t>
      </w:r>
      <w:r w:rsidR="004A2FFD" w:rsidRPr="009473A8">
        <w:t>c</w:t>
      </w:r>
      <w:r w:rsidRPr="009473A8">
        <w:t>. The spectral -3dB-bandwidth of a waveband is in average 16.8 nm, which represents the assigned bandwidth per drop port. This spectral slice can be extended by use of adjacent wavebands up to more than 50 nm. This is shown in Fig. 3</w:t>
      </w:r>
      <w:r w:rsidR="004A2FFD" w:rsidRPr="009473A8">
        <w:t>b</w:t>
      </w:r>
      <w:r w:rsidRPr="009473A8">
        <w:t xml:space="preserve"> for the particular case of drop port 3 that is then receiving the slices </w:t>
      </w:r>
      <w:r w:rsidRPr="009473A8">
        <w:rPr>
          <w:lang w:val="el-GR"/>
        </w:rPr>
        <w:t>Λ</w:t>
      </w:r>
      <w:r w:rsidRPr="009473A8">
        <w:rPr>
          <w:vertAlign w:val="subscript"/>
        </w:rPr>
        <w:t>2</w:t>
      </w:r>
      <w:r w:rsidRPr="009473A8">
        <w:t xml:space="preserve"> to </w:t>
      </w:r>
      <w:r w:rsidRPr="009473A8">
        <w:rPr>
          <w:lang w:val="el-GR"/>
        </w:rPr>
        <w:t>Λ</w:t>
      </w:r>
      <w:r w:rsidRPr="009473A8">
        <w:rPr>
          <w:vertAlign w:val="subscript"/>
        </w:rPr>
        <w:t>4</w:t>
      </w:r>
      <w:r w:rsidRPr="009473A8">
        <w:t>. The fibre-to-fibre pass-through loss for the ROADM is 8.4 dB in the worst-case. Inter-BBU transmission can be facilitated between this drop port and several other drop ports, which is evident from Fig. 3</w:t>
      </w:r>
      <w:r w:rsidR="004A2FFD" w:rsidRPr="009473A8">
        <w:t>c</w:t>
      </w:r>
      <w:r w:rsidRPr="009473A8">
        <w:t>. The pass-through insertion loss increases to 11.5 dB in the worst case since the signal needs to traverse four CWDM multiplexers, one 50/50 coupler and four MOEMS switches. Table I summarizes the wavelength assignments and corresponding pass-through losses for several interconnections established for drop port 3.</w:t>
      </w:r>
    </w:p>
    <w:p w:rsidR="002C4BDD" w:rsidRPr="009473A8" w:rsidRDefault="00281E6A" w:rsidP="002C4BDD">
      <w:pPr>
        <w:pStyle w:val="Heading1"/>
      </w:pPr>
      <w:r w:rsidRPr="009473A8">
        <w:t xml:space="preserve">DYNAMIC SPECTRUM SWITCHING AND FORMATION OF VIRTUAL </w:t>
      </w:r>
      <w:proofErr w:type="spellStart"/>
      <w:r w:rsidRPr="009473A8">
        <w:t>PONs</w:t>
      </w:r>
      <w:proofErr w:type="spellEnd"/>
    </w:p>
    <w:p w:rsidR="004770B3" w:rsidRPr="009473A8" w:rsidRDefault="004770B3" w:rsidP="004770B3">
      <w:pPr>
        <w:pStyle w:val="Text"/>
        <w:ind w:firstLine="0"/>
      </w:pPr>
      <w:r w:rsidRPr="009473A8">
        <w:t xml:space="preserve">The experimental setup for evaluating dynamic </w:t>
      </w:r>
      <w:r w:rsidR="00FF2477" w:rsidRPr="009473A8">
        <w:t xml:space="preserve">spectrum allocation among </w:t>
      </w:r>
      <w:r w:rsidRPr="009473A8">
        <w:t>drop segments and the establishment of inter-BBU connections is presented in Fig. 4</w:t>
      </w:r>
      <w:r w:rsidR="00BE39B9" w:rsidRPr="009473A8">
        <w:t>a</w:t>
      </w:r>
      <w:r w:rsidRPr="009473A8">
        <w:t>. The fu</w:t>
      </w:r>
      <w:r w:rsidR="00FF2477" w:rsidRPr="009473A8">
        <w:t xml:space="preserve">lly passive ROADM is located </w:t>
      </w:r>
      <w:r w:rsidRPr="009473A8">
        <w:t xml:space="preserve">between feeder and drop segments that connect to the </w:t>
      </w:r>
      <w:proofErr w:type="spellStart"/>
      <w:r w:rsidRPr="009473A8">
        <w:t>OLTs</w:t>
      </w:r>
      <w:proofErr w:type="spellEnd"/>
      <w:r w:rsidRPr="009473A8">
        <w:t xml:space="preserve"> and </w:t>
      </w:r>
      <w:proofErr w:type="spellStart"/>
      <w:r w:rsidRPr="009473A8">
        <w:t>ONUs</w:t>
      </w:r>
      <w:proofErr w:type="spellEnd"/>
      <w:r w:rsidRPr="009473A8">
        <w:t xml:space="preserve">, respectively. In the context of mobile </w:t>
      </w:r>
      <w:proofErr w:type="spellStart"/>
      <w:r w:rsidRPr="009473A8">
        <w:t>fronthauling</w:t>
      </w:r>
      <w:proofErr w:type="spellEnd"/>
      <w:r w:rsidRPr="009473A8">
        <w:t xml:space="preserve">, as introduced in Fig. 1, the </w:t>
      </w:r>
      <w:proofErr w:type="spellStart"/>
      <w:r w:rsidRPr="009473A8">
        <w:t>ONUs</w:t>
      </w:r>
      <w:proofErr w:type="spellEnd"/>
      <w:r w:rsidRPr="009473A8">
        <w:t xml:space="preserve"> can represent </w:t>
      </w:r>
      <w:proofErr w:type="spellStart"/>
      <w:r w:rsidRPr="009473A8">
        <w:t>RRHs</w:t>
      </w:r>
      <w:proofErr w:type="spellEnd"/>
      <w:r w:rsidRPr="009473A8">
        <w:t xml:space="preserve"> while the </w:t>
      </w:r>
      <w:proofErr w:type="spellStart"/>
      <w:r w:rsidRPr="009473A8">
        <w:t>OLTs</w:t>
      </w:r>
      <w:proofErr w:type="spellEnd"/>
      <w:r w:rsidRPr="009473A8">
        <w:t xml:space="preserve"> can stand for </w:t>
      </w:r>
      <w:proofErr w:type="spellStart"/>
      <w:r w:rsidRPr="009473A8">
        <w:t>BBUs</w:t>
      </w:r>
      <w:proofErr w:type="spellEnd"/>
      <w:r w:rsidRPr="009473A8">
        <w:t xml:space="preserve">. Moreover, in case of mobile backhauling the </w:t>
      </w:r>
      <w:proofErr w:type="spellStart"/>
      <w:r w:rsidRPr="009473A8">
        <w:t>ONUs</w:t>
      </w:r>
      <w:proofErr w:type="spellEnd"/>
      <w:r w:rsidRPr="009473A8">
        <w:t xml:space="preserve"> can further represent </w:t>
      </w:r>
      <w:proofErr w:type="spellStart"/>
      <w:r w:rsidRPr="009473A8">
        <w:t>BBUs</w:t>
      </w:r>
      <w:proofErr w:type="spellEnd"/>
      <w:r w:rsidRPr="009473A8">
        <w:t xml:space="preserve"> while the </w:t>
      </w:r>
      <w:proofErr w:type="spellStart"/>
      <w:r w:rsidRPr="009473A8">
        <w:t>OLTs</w:t>
      </w:r>
      <w:proofErr w:type="spellEnd"/>
      <w:r w:rsidRPr="009473A8">
        <w:t xml:space="preserve"> would then be </w:t>
      </w:r>
      <w:r w:rsidR="00FF2477" w:rsidRPr="009473A8">
        <w:t>hosted</w:t>
      </w:r>
      <w:r w:rsidRPr="009473A8">
        <w:t xml:space="preserve"> at different COs.</w:t>
      </w:r>
    </w:p>
    <w:p w:rsidR="004770B3" w:rsidRPr="009473A8" w:rsidRDefault="004770B3" w:rsidP="004770B3">
      <w:pPr>
        <w:pStyle w:val="Text"/>
        <w:tabs>
          <w:tab w:val="left" w:pos="284"/>
        </w:tabs>
        <w:ind w:firstLine="0"/>
      </w:pPr>
      <w:r w:rsidRPr="009473A8">
        <w:tab/>
        <w:t xml:space="preserve">Switching of spectral resources from the OLT is investigated by multiplexing and transmitting different signals towards the feeder: one comb in the C-band, one comb in the L-band and a single channel at 1610 nm. The pump at 1480 nm that constitutes the optical feed and control plane signal for the ROADM is also added with a power of 3 </w:t>
      </w:r>
      <w:proofErr w:type="spellStart"/>
      <w:r w:rsidRPr="009473A8">
        <w:t>dBm</w:t>
      </w:r>
      <w:proofErr w:type="spellEnd"/>
      <w:r w:rsidRPr="009473A8">
        <w:t xml:space="preserve">. In addition, one ONU is added per drop segment. These </w:t>
      </w:r>
      <w:proofErr w:type="spellStart"/>
      <w:proofErr w:type="gramStart"/>
      <w:r w:rsidRPr="009473A8">
        <w:t>ONUs</w:t>
      </w:r>
      <w:proofErr w:type="spellEnd"/>
      <w:proofErr w:type="gramEnd"/>
      <w:r w:rsidRPr="009473A8">
        <w:t xml:space="preserve"> are emitting at different wavelengths, </w:t>
      </w:r>
      <w:r w:rsidR="00FF2477" w:rsidRPr="009473A8">
        <w:t>in particular</w:t>
      </w:r>
      <w:r w:rsidRPr="009473A8">
        <w:t xml:space="preserve"> at 1568, 1569, 1571 and 1611 nm. Measurements are taken at drop port 3</w:t>
      </w:r>
      <w:r w:rsidR="00FF2477" w:rsidRPr="009473A8">
        <w:t xml:space="preserve"> and BER measurements</w:t>
      </w:r>
      <w:r w:rsidRPr="009473A8">
        <w:t xml:space="preserve"> through the wavelength-</w:t>
      </w:r>
      <w:proofErr w:type="spellStart"/>
      <w:r w:rsidRPr="009473A8">
        <w:t>tunable</w:t>
      </w:r>
      <w:proofErr w:type="spellEnd"/>
      <w:r w:rsidRPr="009473A8">
        <w:t xml:space="preserve"> receiver </w:t>
      </w:r>
      <w:r w:rsidR="00FF2477" w:rsidRPr="009473A8">
        <w:t>at</w:t>
      </w:r>
      <w:r w:rsidRPr="009473A8">
        <w:t xml:space="preserve"> ONU-3. The feeder was chosen with 42.3 km of single-mode </w:t>
      </w:r>
      <w:r w:rsidR="007C5B96" w:rsidRPr="009473A8">
        <w:t>fibre</w:t>
      </w:r>
      <w:r w:rsidRPr="009473A8">
        <w:t xml:space="preserve"> </w:t>
      </w:r>
      <w:r w:rsidR="00EA592D" w:rsidRPr="009473A8">
        <w:t>while the drop segments were 2 ×</w:t>
      </w:r>
      <w:r w:rsidRPr="009473A8">
        <w:t xml:space="preserve"> 4.3 km long with a power split</w:t>
      </w:r>
      <w:r w:rsidR="00080650" w:rsidRPr="009473A8">
        <w:t>ting stage</w:t>
      </w:r>
      <w:r w:rsidRPr="009473A8">
        <w:t xml:space="preserve"> in between.</w:t>
      </w:r>
    </w:p>
    <w:p w:rsidR="00BE39B9" w:rsidRPr="009473A8" w:rsidRDefault="00BE39B9" w:rsidP="00BE39B9">
      <w:pPr>
        <w:pStyle w:val="Text"/>
        <w:tabs>
          <w:tab w:val="left" w:pos="284"/>
        </w:tabs>
        <w:ind w:firstLine="0"/>
        <w:rPr>
          <w:lang w:val="en-US"/>
        </w:rPr>
      </w:pPr>
      <w:r w:rsidRPr="009473A8">
        <w:tab/>
        <w:t xml:space="preserve">Reallocation of wavelength resources from the feeder to drop segment 3 is presented in Fig. 4b. Waveband </w:t>
      </w:r>
      <w:r w:rsidRPr="009473A8">
        <w:rPr>
          <w:lang w:val="el-GR"/>
        </w:rPr>
        <w:t>Λ</w:t>
      </w:r>
      <w:r w:rsidRPr="009473A8">
        <w:rPr>
          <w:vertAlign w:val="subscript"/>
          <w:lang w:val="en-US"/>
        </w:rPr>
        <w:t>3</w:t>
      </w:r>
      <w:r w:rsidRPr="009473A8">
        <w:rPr>
          <w:lang w:val="en-US"/>
        </w:rPr>
        <w:t xml:space="preserve"> is </w:t>
      </w:r>
      <w:r w:rsidRPr="009473A8">
        <w:t>continuously associated to this drop segment and includes the upper L-band comb (</w:t>
      </w:r>
      <w:proofErr w:type="gramStart"/>
      <w:r w:rsidRPr="009473A8">
        <w:t>A</w:t>
      </w:r>
      <w:proofErr w:type="gramEnd"/>
      <w:r w:rsidRPr="009473A8">
        <w:t xml:space="preserve"> in Fig. 4b) transmitted by the OLT. Multicasting is then enabled through the corresponding MOEMS switch </w:t>
      </w:r>
      <w:r w:rsidRPr="009473A8">
        <w:rPr>
          <w:i/>
        </w:rPr>
        <w:t>m</w:t>
      </w:r>
      <w:r w:rsidRPr="009473A8">
        <w:t xml:space="preserve"> and waveband </w:t>
      </w:r>
      <w:r w:rsidRPr="009473A8">
        <w:rPr>
          <w:lang w:val="el-GR"/>
        </w:rPr>
        <w:t>Λ</w:t>
      </w:r>
      <w:r w:rsidRPr="009473A8">
        <w:rPr>
          <w:vertAlign w:val="subscript"/>
          <w:lang w:val="en-US"/>
        </w:rPr>
        <w:t>2</w:t>
      </w:r>
      <w:r w:rsidRPr="009473A8">
        <w:rPr>
          <w:lang w:val="en-US"/>
        </w:rPr>
        <w:t xml:space="preserve"> is appended to </w:t>
      </w:r>
      <w:r w:rsidRPr="009473A8">
        <w:rPr>
          <w:lang w:val="el-GR"/>
        </w:rPr>
        <w:t>Λ</w:t>
      </w:r>
      <w:r w:rsidRPr="009473A8">
        <w:rPr>
          <w:vertAlign w:val="subscript"/>
          <w:lang w:val="en-US"/>
        </w:rPr>
        <w:t>3</w:t>
      </w:r>
      <w:r w:rsidRPr="009473A8">
        <w:t xml:space="preserve">. With this the lower </w:t>
      </w:r>
      <w:proofErr w:type="gramStart"/>
      <w:r w:rsidRPr="009473A8">
        <w:t>portion of the L-band comb</w:t>
      </w:r>
      <w:proofErr w:type="gramEnd"/>
      <w:r w:rsidRPr="009473A8">
        <w:t xml:space="preserve"> (B) and also the upper part of the C-band comb (C) is d</w:t>
      </w:r>
      <w:r w:rsidR="009A7C70" w:rsidRPr="009473A8">
        <w:t>ropped to port 3. Note that wave</w:t>
      </w:r>
      <w:r w:rsidRPr="009473A8">
        <w:t xml:space="preserve">band </w:t>
      </w:r>
      <w:r w:rsidRPr="009473A8">
        <w:rPr>
          <w:lang w:val="el-GR"/>
        </w:rPr>
        <w:t>Λ</w:t>
      </w:r>
      <w:r w:rsidRPr="009473A8">
        <w:rPr>
          <w:vertAlign w:val="subscript"/>
          <w:lang w:val="en-US"/>
        </w:rPr>
        <w:t>4</w:t>
      </w:r>
      <w:r w:rsidRPr="009473A8">
        <w:rPr>
          <w:lang w:val="en-US"/>
        </w:rPr>
        <w:t xml:space="preserve"> is not </w:t>
      </w:r>
      <w:r w:rsidRPr="009473A8">
        <w:t>forwarded despite activated multicast</w:t>
      </w:r>
      <w:proofErr w:type="spellStart"/>
      <w:r w:rsidRPr="009473A8">
        <w:rPr>
          <w:lang w:val="en-US"/>
        </w:rPr>
        <w:t>i</w:t>
      </w:r>
      <w:proofErr w:type="spellEnd"/>
      <w:r w:rsidRPr="009473A8">
        <w:t>n</w:t>
      </w:r>
      <w:r w:rsidRPr="009473A8">
        <w:rPr>
          <w:lang w:val="en-US"/>
        </w:rPr>
        <w:t>g since</w:t>
      </w:r>
      <w:r w:rsidRPr="009473A8">
        <w:t xml:space="preserve"> it</w:t>
      </w:r>
      <w:r w:rsidR="00926815" w:rsidRPr="009473A8">
        <w:t xml:space="preserve"> is by</w:t>
      </w:r>
      <w:r w:rsidRPr="009473A8">
        <w:t xml:space="preserve"> de</w:t>
      </w:r>
      <w:r w:rsidR="009A7C70" w:rsidRPr="009473A8">
        <w:t>fault associate</w:t>
      </w:r>
      <w:r w:rsidR="00926815" w:rsidRPr="009473A8">
        <w:t>d</w:t>
      </w:r>
      <w:r w:rsidR="009A7C70" w:rsidRPr="009473A8">
        <w:t xml:space="preserve"> </w:t>
      </w:r>
      <w:r w:rsidRPr="009473A8">
        <w:t>to drop port 1.</w:t>
      </w:r>
      <w:r w:rsidRPr="009473A8">
        <w:rPr>
          <w:lang w:val="en-US"/>
        </w:rPr>
        <w:t xml:space="preserve"> </w:t>
      </w:r>
      <w:r w:rsidRPr="009473A8">
        <w:t xml:space="preserve">As next reconfiguration step inter-BBU </w:t>
      </w:r>
      <w:r w:rsidR="009A7C70" w:rsidRPr="009473A8">
        <w:t>links are</w:t>
      </w:r>
      <w:r w:rsidRPr="009473A8">
        <w:t xml:space="preserve"> </w:t>
      </w:r>
      <w:r w:rsidR="009A7C70" w:rsidRPr="009473A8">
        <w:t>set up</w:t>
      </w:r>
      <w:r w:rsidRPr="009473A8">
        <w:t xml:space="preserve"> through actuating MOEMS switch </w:t>
      </w:r>
      <w:proofErr w:type="spellStart"/>
      <w:r w:rsidRPr="009473A8">
        <w:rPr>
          <w:i/>
        </w:rPr>
        <w:t>i</w:t>
      </w:r>
      <w:proofErr w:type="spellEnd"/>
      <w:r w:rsidRPr="009473A8">
        <w:t xml:space="preserve">. </w:t>
      </w:r>
      <w:proofErr w:type="spellStart"/>
      <w:r w:rsidRPr="009473A8">
        <w:t>Lightpaths</w:t>
      </w:r>
      <w:proofErr w:type="spellEnd"/>
      <w:r w:rsidRPr="009473A8">
        <w:t xml:space="preserve"> between drop segments 1-3 and 3-4 are established at 1568 nm (E) and 1611 nm (D), respectively. This allows that </w:t>
      </w:r>
      <w:proofErr w:type="spellStart"/>
      <w:r w:rsidRPr="009473A8">
        <w:t>BBUs</w:t>
      </w:r>
      <w:proofErr w:type="spellEnd"/>
      <w:r w:rsidRPr="009473A8">
        <w:t xml:space="preserve"> at locations ONU-1 and ONU-4 can be virtually linked to the </w:t>
      </w:r>
      <w:proofErr w:type="spellStart"/>
      <w:r w:rsidRPr="009473A8">
        <w:t>BBUs</w:t>
      </w:r>
      <w:proofErr w:type="spellEnd"/>
      <w:r w:rsidRPr="009473A8">
        <w:t xml:space="preserve"> </w:t>
      </w:r>
      <w:r w:rsidR="00926815" w:rsidRPr="009473A8">
        <w:t>pooled</w:t>
      </w:r>
      <w:r w:rsidRPr="009473A8">
        <w:t xml:space="preserve"> at ONU-3. In the next step the inter-BBU </w:t>
      </w:r>
      <w:r w:rsidR="00926815" w:rsidRPr="009473A8">
        <w:t>link</w:t>
      </w:r>
      <w:r w:rsidRPr="009473A8">
        <w:t xml:space="preserve"> between drop segment</w:t>
      </w:r>
      <w:r w:rsidR="0061260A" w:rsidRPr="009473A8">
        <w:t>s</w:t>
      </w:r>
      <w:r w:rsidRPr="009473A8">
        <w:t xml:space="preserve"> 3-4 is exchanged by multicasting of waveband </w:t>
      </w:r>
      <w:r w:rsidRPr="009473A8">
        <w:rPr>
          <w:lang w:val="el-GR"/>
        </w:rPr>
        <w:t>Λ</w:t>
      </w:r>
      <w:r w:rsidRPr="009473A8">
        <w:rPr>
          <w:vertAlign w:val="subscript"/>
          <w:lang w:val="en-US"/>
        </w:rPr>
        <w:t>4</w:t>
      </w:r>
      <w:r w:rsidRPr="009473A8">
        <w:t xml:space="preserve"> to drop segment 3. This </w:t>
      </w:r>
      <w:r w:rsidR="00926815" w:rsidRPr="009473A8">
        <w:t>is</w:t>
      </w:r>
      <w:r w:rsidRPr="009473A8">
        <w:t xml:space="preserve"> made by flipping MOEMS switch </w:t>
      </w:r>
      <w:r w:rsidRPr="009473A8">
        <w:rPr>
          <w:lang w:val="el-GR"/>
        </w:rPr>
        <w:t>Λ</w:t>
      </w:r>
      <w:r w:rsidRPr="009473A8">
        <w:rPr>
          <w:vertAlign w:val="subscript"/>
          <w:lang w:val="en-US"/>
        </w:rPr>
        <w:t>4</w:t>
      </w:r>
      <w:r w:rsidRPr="009473A8">
        <w:t xml:space="preserve">. As a consequence, the OLT channel at 1610 nm (F) does now appear in the spectrum. This reconfiguration step also shows that not all functionalities can be provided at the same time, e.g., inter-BBU communication and multicasting of extension bands for WDM overlay that are also used for the purpose of facilitating inter-BBU traffic. Still it has to be recalled that the OLT channel at 1610 nm and several channels in waveband </w:t>
      </w:r>
      <w:r w:rsidRPr="009473A8">
        <w:rPr>
          <w:lang w:val="el-GR"/>
        </w:rPr>
        <w:t>Λ</w:t>
      </w:r>
      <w:r w:rsidRPr="009473A8">
        <w:rPr>
          <w:vertAlign w:val="subscript"/>
          <w:lang w:val="en-US"/>
        </w:rPr>
        <w:t>2</w:t>
      </w:r>
      <w:r w:rsidRPr="009473A8">
        <w:rPr>
          <w:lang w:val="en-US"/>
        </w:rPr>
        <w:t xml:space="preserve"> (</w:t>
      </w:r>
      <w:r w:rsidRPr="009473A8">
        <w:t>B, C</w:t>
      </w:r>
      <w:r w:rsidRPr="009473A8">
        <w:rPr>
          <w:lang w:val="en-US"/>
        </w:rPr>
        <w:t>)</w:t>
      </w:r>
      <w:r w:rsidRPr="009473A8">
        <w:t xml:space="preserve"> originating from the OLT are also present at their designated drop ports 4 and 2, respectively. These extension wavelengths can be therefore shared </w:t>
      </w:r>
      <w:r w:rsidR="009A7C70" w:rsidRPr="009473A8">
        <w:t>by means of</w:t>
      </w:r>
      <w:r w:rsidRPr="009473A8">
        <w:t xml:space="preserve"> TDM among the drop segments. The last reconfiguration shown in Fig. 4b, which </w:t>
      </w:r>
      <w:r w:rsidR="00926815" w:rsidRPr="009473A8">
        <w:rPr>
          <w:noProof/>
          <w:lang w:val="de-AT" w:eastAsia="de-AT"/>
        </w:rPr>
        <w:lastRenderedPageBreak/>
        <w:drawing>
          <wp:anchor distT="0" distB="0" distL="114300" distR="114300" simplePos="0" relativeHeight="251662336" behindDoc="0" locked="0" layoutInCell="1" allowOverlap="1">
            <wp:simplePos x="0" y="0"/>
            <wp:positionH relativeFrom="column">
              <wp:posOffset>1270</wp:posOffset>
            </wp:positionH>
            <wp:positionV relativeFrom="paragraph">
              <wp:posOffset>-189230</wp:posOffset>
            </wp:positionV>
            <wp:extent cx="2628900" cy="4368800"/>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521" t="167" r="7857" b="669"/>
                    <a:stretch>
                      <a:fillRect/>
                    </a:stretch>
                  </pic:blipFill>
                  <pic:spPr bwMode="auto">
                    <a:xfrm>
                      <a:off x="0" y="0"/>
                      <a:ext cx="2628900" cy="4368800"/>
                    </a:xfrm>
                    <a:prstGeom prst="rect">
                      <a:avLst/>
                    </a:prstGeom>
                    <a:noFill/>
                    <a:ln w="9525">
                      <a:noFill/>
                      <a:miter lim="800000"/>
                      <a:headEnd/>
                      <a:tailEnd/>
                    </a:ln>
                  </pic:spPr>
                </pic:pic>
              </a:graphicData>
            </a:graphic>
          </wp:anchor>
        </w:drawing>
      </w:r>
      <w:r w:rsidRPr="009473A8">
        <w:t xml:space="preserve">is to flip MOEMS switch </w:t>
      </w:r>
      <w:r w:rsidRPr="009473A8">
        <w:rPr>
          <w:lang w:val="el-GR"/>
        </w:rPr>
        <w:t>Λ</w:t>
      </w:r>
      <w:r w:rsidRPr="009473A8">
        <w:rPr>
          <w:vertAlign w:val="subscript"/>
          <w:lang w:val="en-US"/>
        </w:rPr>
        <w:t>2</w:t>
      </w:r>
      <w:r w:rsidRPr="009473A8">
        <w:t>, leads to inter-BBU communication between drop segments 2-3 at the channel of 1569 nm (G)</w:t>
      </w:r>
      <w:r w:rsidR="009A7C70" w:rsidRPr="009473A8">
        <w:t xml:space="preserve"> and depletes the energy reservoir</w:t>
      </w:r>
      <w:r w:rsidRPr="009473A8">
        <w:t xml:space="preserve">. Similar </w:t>
      </w:r>
      <w:r w:rsidR="009A7C70" w:rsidRPr="009473A8">
        <w:t>to what was</w:t>
      </w:r>
      <w:r w:rsidRPr="009473A8">
        <w:t xml:space="preserve"> stated previously, this takes the opportunity to extend the feeder-side spectrum towards </w:t>
      </w:r>
      <w:r w:rsidR="009A7C70" w:rsidRPr="009473A8">
        <w:t xml:space="preserve">drop segment 3 by </w:t>
      </w:r>
      <w:r w:rsidRPr="009473A8">
        <w:t xml:space="preserve">waveband </w:t>
      </w:r>
      <w:r w:rsidRPr="009473A8">
        <w:rPr>
          <w:lang w:val="el-GR"/>
        </w:rPr>
        <w:t>Λ</w:t>
      </w:r>
      <w:r w:rsidRPr="009473A8">
        <w:rPr>
          <w:vertAlign w:val="subscript"/>
          <w:lang w:val="en-US"/>
        </w:rPr>
        <w:t>2</w:t>
      </w:r>
      <w:r w:rsidR="009A7C70" w:rsidRPr="009473A8">
        <w:t xml:space="preserve"> (B, C) since</w:t>
      </w:r>
      <w:r w:rsidRPr="009473A8">
        <w:t xml:space="preserve"> several wavelengths within this spectral band are now intended to support inter-BBU traffic</w:t>
      </w:r>
      <w:r w:rsidRPr="009473A8">
        <w:rPr>
          <w:lang w:val="en-US"/>
        </w:rPr>
        <w:t>.</w:t>
      </w:r>
      <w:r w:rsidRPr="009473A8">
        <w:t xml:space="preserve"> However, inter-BBU traffic between drop segments 1-3 at the channel of 1568 nm (E) is not affected by this </w:t>
      </w:r>
      <w:r w:rsidR="009A7C70" w:rsidRPr="009473A8">
        <w:t xml:space="preserve">last </w:t>
      </w:r>
      <w:r w:rsidRPr="009473A8">
        <w:t xml:space="preserve">operation. </w:t>
      </w:r>
      <w:r w:rsidR="009A7C70" w:rsidRPr="009473A8">
        <w:t xml:space="preserve">It shall be stressed that </w:t>
      </w:r>
      <w:r w:rsidRPr="009473A8">
        <w:t xml:space="preserve">four reconfiguration steps can be facilitated before recharging the energy </w:t>
      </w:r>
      <w:r w:rsidR="00926815" w:rsidRPr="009473A8">
        <w:rPr>
          <w:noProof/>
          <w:lang w:val="de-AT" w:eastAsia="de-AT"/>
        </w:rPr>
        <w:drawing>
          <wp:anchor distT="0" distB="0" distL="114300" distR="114300" simplePos="0" relativeHeight="251661312" behindDoc="0" locked="1" layoutInCell="1" allowOverlap="1">
            <wp:simplePos x="0" y="0"/>
            <wp:positionH relativeFrom="column">
              <wp:posOffset>2827020</wp:posOffset>
            </wp:positionH>
            <wp:positionV relativeFrom="paragraph">
              <wp:posOffset>1963420</wp:posOffset>
            </wp:positionV>
            <wp:extent cx="2895600" cy="222250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000" t="2388" r="12392"/>
                    <a:stretch>
                      <a:fillRect/>
                    </a:stretch>
                  </pic:blipFill>
                  <pic:spPr bwMode="auto">
                    <a:xfrm>
                      <a:off x="0" y="0"/>
                      <a:ext cx="2895600" cy="2222500"/>
                    </a:xfrm>
                    <a:prstGeom prst="rect">
                      <a:avLst/>
                    </a:prstGeom>
                    <a:noFill/>
                    <a:ln w="9525">
                      <a:noFill/>
                      <a:miter lim="800000"/>
                      <a:headEnd/>
                      <a:tailEnd/>
                    </a:ln>
                  </pic:spPr>
                </pic:pic>
              </a:graphicData>
            </a:graphic>
          </wp:anchor>
        </w:drawing>
      </w:r>
      <w:r w:rsidRPr="009473A8">
        <w:t xml:space="preserve">reservoir similar as multiple </w:t>
      </w:r>
      <w:r w:rsidR="009A7C70" w:rsidRPr="009473A8">
        <w:t xml:space="preserve">consecutive </w:t>
      </w:r>
      <w:r w:rsidRPr="009473A8">
        <w:t>switching operations have been demonstrated in [</w:t>
      </w:r>
      <w:r w:rsidR="008A5FE3" w:rsidRPr="009473A8">
        <w:t>5</w:t>
      </w:r>
      <w:r w:rsidRPr="009473A8">
        <w:t>].</w:t>
      </w:r>
    </w:p>
    <w:p w:rsidR="00BE39B9" w:rsidRPr="009473A8" w:rsidRDefault="00CC6C6C" w:rsidP="00A20F1A">
      <w:pPr>
        <w:tabs>
          <w:tab w:val="left" w:pos="284"/>
        </w:tabs>
      </w:pPr>
      <w:r w:rsidRPr="009473A8">
        <w:rPr>
          <w:noProof/>
          <w:lang w:val="de-AT" w:eastAsia="de-AT"/>
        </w:rPr>
        <w:pict>
          <v:shapetype id="_x0000_t202" coordsize="21600,21600" o:spt="202" path="m,l,21600r21600,l21600,xe">
            <v:stroke joinstyle="miter"/>
            <v:path gradientshapeok="t" o:connecttype="rect"/>
          </v:shapetype>
          <v:shape id="_x0000_s1026" type="#_x0000_t202" style="position:absolute;left:0;text-align:left;margin-left:-1.95pt;margin-top:179.6pt;width:456.8pt;height:22.5pt;z-index:251660288" filled="f" stroked="f">
            <v:textbox style="mso-next-textbox:#_x0000_s1026">
              <w:txbxContent>
                <w:p w:rsidR="00A20F1A" w:rsidRPr="00A20F1A" w:rsidRDefault="00A20F1A" w:rsidP="00A20F1A">
                  <w:pPr>
                    <w:jc w:val="center"/>
                    <w:rPr>
                      <w:i/>
                    </w:rPr>
                  </w:pPr>
                  <w:proofErr w:type="gramStart"/>
                  <w:r w:rsidRPr="00A20F1A">
                    <w:rPr>
                      <w:i/>
                    </w:rPr>
                    <w:t>Figure 4.</w:t>
                  </w:r>
                  <w:proofErr w:type="gramEnd"/>
                  <w:r w:rsidRPr="00A20F1A">
                    <w:rPr>
                      <w:i/>
                    </w:rPr>
                    <w:t xml:space="preserve"> (a) Experimental setup and (</w:t>
                  </w:r>
                  <w:proofErr w:type="spellStart"/>
                  <w:r w:rsidRPr="00A20F1A">
                    <w:rPr>
                      <w:i/>
                    </w:rPr>
                    <w:t>b</w:t>
                  </w:r>
                  <w:proofErr w:type="spellEnd"/>
                  <w:r w:rsidRPr="00A20F1A">
                    <w:rPr>
                      <w:i/>
                    </w:rPr>
                    <w:t xml:space="preserve">) re-allocation of spectral resources and </w:t>
                  </w:r>
                  <w:proofErr w:type="spellStart"/>
                  <w:r w:rsidRPr="00A20F1A">
                    <w:rPr>
                      <w:i/>
                    </w:rPr>
                    <w:t>lightpaths</w:t>
                  </w:r>
                  <w:proofErr w:type="spellEnd"/>
                  <w:r w:rsidRPr="00A20F1A">
                    <w:rPr>
                      <w:rStyle w:val="CommentReference"/>
                      <w:i/>
                    </w:rPr>
                    <w:t/>
                  </w:r>
                  <w:r w:rsidRPr="00A20F1A">
                    <w:rPr>
                      <w:i/>
                    </w:rPr>
                    <w:t xml:space="preserve"> at drop port 3.</w:t>
                  </w:r>
                </w:p>
              </w:txbxContent>
            </v:textbox>
            <w10:wrap type="square"/>
          </v:shape>
        </w:pict>
      </w:r>
      <w:r w:rsidR="004770B3" w:rsidRPr="009473A8">
        <w:tab/>
      </w:r>
      <w:r w:rsidR="00BE39B9" w:rsidRPr="009473A8">
        <w:t xml:space="preserve">Finally, BER measurements have been carried out to evaluate if crosstalk from channels adjacent in space and wavelength raises error floors. For this purpose data transmission between the OLT and ONU-3 and between ONU-1, -2, -4 and ONU-3 has been evaluated at 1.25 and 2.5 </w:t>
      </w:r>
      <w:proofErr w:type="spellStart"/>
      <w:r w:rsidR="00BE39B9" w:rsidRPr="009473A8">
        <w:t>Gb</w:t>
      </w:r>
      <w:proofErr w:type="spellEnd"/>
      <w:r w:rsidR="00BE39B9" w:rsidRPr="009473A8">
        <w:t xml:space="preserve">/s in a back-to-back case and in presence of the ROADM. No penalty has been observed, which is attributed to the sufficiently high side-channel rejection for the CWDM multiplexers used in the ROADM and </w:t>
      </w:r>
      <w:r w:rsidR="000E36AF" w:rsidRPr="009473A8">
        <w:t>further</w:t>
      </w:r>
      <w:r w:rsidR="00BE39B9" w:rsidRPr="009473A8">
        <w:t xml:space="preserve"> due to the very low crosstalk ratio below -54 dB</w:t>
      </w:r>
      <w:r w:rsidR="000E36AF" w:rsidRPr="009473A8">
        <w:t xml:space="preserve"> between the ports of its 2×</w:t>
      </w:r>
      <w:r w:rsidR="00BE39B9" w:rsidRPr="009473A8">
        <w:t>2 MOEMS switches [</w:t>
      </w:r>
      <w:r w:rsidR="008A5FE3" w:rsidRPr="009473A8">
        <w:t>6</w:t>
      </w:r>
      <w:r w:rsidR="00BE39B9" w:rsidRPr="009473A8">
        <w:t>].</w:t>
      </w:r>
    </w:p>
    <w:p w:rsidR="00F233B3" w:rsidRPr="009473A8" w:rsidRDefault="004770B3" w:rsidP="00F233B3">
      <w:pPr>
        <w:pStyle w:val="Heading1"/>
      </w:pPr>
      <w:r w:rsidRPr="009473A8">
        <w:t>CONCLUSIONS</w:t>
      </w:r>
    </w:p>
    <w:p w:rsidR="00F233B3" w:rsidRPr="009473A8" w:rsidRDefault="00F233B3" w:rsidP="00892CE2">
      <w:pPr>
        <w:spacing w:before="120"/>
      </w:pPr>
      <w:r w:rsidRPr="009473A8">
        <w:t>A</w:t>
      </w:r>
      <w:r w:rsidR="002E0DAF" w:rsidRPr="009473A8">
        <w:t xml:space="preserve"> fully-passive node concept that avoids electrically-powered networking equipment in passive front- and backhaul links has been demonstrated. The proposed ROADM uses 4 CWDM wavebands and provides </w:t>
      </w:r>
      <w:r w:rsidR="00BA718D" w:rsidRPr="009473A8">
        <w:t xml:space="preserve">on-demand </w:t>
      </w:r>
      <w:r w:rsidR="002E0DAF" w:rsidRPr="009473A8">
        <w:t xml:space="preserve">multicast functionality, resiliency and the option to establish virtual </w:t>
      </w:r>
      <w:proofErr w:type="spellStart"/>
      <w:r w:rsidR="002E0DAF" w:rsidRPr="009473A8">
        <w:t>PONs</w:t>
      </w:r>
      <w:proofErr w:type="spellEnd"/>
      <w:r w:rsidR="002E0DAF" w:rsidRPr="009473A8">
        <w:t xml:space="preserve"> between </w:t>
      </w:r>
      <w:proofErr w:type="spellStart"/>
      <w:r w:rsidR="002E0DAF" w:rsidRPr="009473A8">
        <w:t>BBUs</w:t>
      </w:r>
      <w:proofErr w:type="spellEnd"/>
      <w:r w:rsidR="002E0DAF" w:rsidRPr="009473A8">
        <w:t xml:space="preserve"> located in different cloud-</w:t>
      </w:r>
      <w:proofErr w:type="spellStart"/>
      <w:r w:rsidR="002E0DAF" w:rsidRPr="009473A8">
        <w:t>RANs</w:t>
      </w:r>
      <w:proofErr w:type="spellEnd"/>
      <w:r w:rsidR="002E0DAF" w:rsidRPr="009473A8">
        <w:t>.</w:t>
      </w:r>
      <w:r w:rsidR="00BA718D" w:rsidRPr="009473A8">
        <w:t xml:space="preserve"> With these a way for load balancing and dynamic bandwidth allocation is provided for the mobile front- and/or backhaul without compromising the passiveness of the optical network.</w:t>
      </w:r>
    </w:p>
    <w:p w:rsidR="001D0716" w:rsidRPr="009473A8" w:rsidRDefault="00895758" w:rsidP="00895758">
      <w:pPr>
        <w:pStyle w:val="ACKNOWLEDGEMENT"/>
      </w:pPr>
      <w:r w:rsidRPr="009473A8">
        <w:t>ACKNOWLEDG</w:t>
      </w:r>
      <w:r w:rsidR="00030F19" w:rsidRPr="009473A8">
        <w:t>E</w:t>
      </w:r>
      <w:r w:rsidRPr="009473A8">
        <w:t>MENT</w:t>
      </w:r>
      <w:r w:rsidR="00F6214F" w:rsidRPr="009473A8">
        <w:t>S</w:t>
      </w:r>
    </w:p>
    <w:p w:rsidR="001D0716" w:rsidRPr="009473A8" w:rsidRDefault="004770B3" w:rsidP="001D0716">
      <w:r w:rsidRPr="009473A8">
        <w:t xml:space="preserve">This work was supported by the European Commission through the FP7 Marie-Curie </w:t>
      </w:r>
      <w:r w:rsidR="00706339" w:rsidRPr="009473A8">
        <w:t>grant WARP-5 (n</w:t>
      </w:r>
      <w:r w:rsidR="00706339" w:rsidRPr="009473A8">
        <w:rPr>
          <w:vertAlign w:val="superscript"/>
        </w:rPr>
        <w:t>°</w:t>
      </w:r>
      <w:r w:rsidR="00706339" w:rsidRPr="009473A8">
        <w:t>333806).</w:t>
      </w:r>
    </w:p>
    <w:p w:rsidR="001D0716" w:rsidRPr="009473A8" w:rsidRDefault="001D0716" w:rsidP="00895758">
      <w:pPr>
        <w:pStyle w:val="ACKNOWLEDGEMENT"/>
      </w:pPr>
      <w:r w:rsidRPr="009473A8">
        <w:t>REFERENCES</w:t>
      </w:r>
    </w:p>
    <w:p w:rsidR="00E563FE" w:rsidRPr="009473A8" w:rsidRDefault="00E563FE" w:rsidP="00C26419">
      <w:pPr>
        <w:pStyle w:val="References"/>
      </w:pPr>
      <w:r w:rsidRPr="009473A8">
        <w:t>C. I</w:t>
      </w:r>
      <w:r w:rsidR="008A5FE3" w:rsidRPr="009473A8">
        <w:t>,</w:t>
      </w:r>
      <w:r w:rsidRPr="009473A8">
        <w:t xml:space="preserve"> </w:t>
      </w:r>
      <w:r w:rsidRPr="009473A8">
        <w:rPr>
          <w:i/>
        </w:rPr>
        <w:t>et al</w:t>
      </w:r>
      <w:r w:rsidRPr="009473A8">
        <w:t>.</w:t>
      </w:r>
      <w:r w:rsidR="008A5FE3" w:rsidRPr="009473A8">
        <w:t>:</w:t>
      </w:r>
      <w:r w:rsidRPr="009473A8">
        <w:t xml:space="preserve"> Toward green and soft: A 5G perspective, </w:t>
      </w:r>
      <w:r w:rsidRPr="009473A8">
        <w:rPr>
          <w:i/>
        </w:rPr>
        <w:t>IEEE Comm. Mag.</w:t>
      </w:r>
      <w:r w:rsidRPr="009473A8">
        <w:t>, vol. 52, pp. 66-73, Feb. 2014.</w:t>
      </w:r>
    </w:p>
    <w:p w:rsidR="000B050D" w:rsidRPr="009473A8" w:rsidRDefault="000B050D" w:rsidP="00C26419">
      <w:pPr>
        <w:pStyle w:val="References"/>
      </w:pPr>
      <w:r w:rsidRPr="009473A8">
        <w:t xml:space="preserve">P. </w:t>
      </w:r>
      <w:proofErr w:type="spellStart"/>
      <w:r w:rsidRPr="009473A8">
        <w:t>Demestichas</w:t>
      </w:r>
      <w:proofErr w:type="spellEnd"/>
      <w:r w:rsidRPr="009473A8">
        <w:t xml:space="preserve">, </w:t>
      </w:r>
      <w:r w:rsidRPr="009473A8">
        <w:rPr>
          <w:i/>
        </w:rPr>
        <w:t>et al.</w:t>
      </w:r>
      <w:r w:rsidRPr="009473A8">
        <w:t xml:space="preserve">: 5G on the horizon: key challenges for the radio- access network, </w:t>
      </w:r>
      <w:r w:rsidRPr="009473A8">
        <w:rPr>
          <w:i/>
        </w:rPr>
        <w:t xml:space="preserve">IEEE </w:t>
      </w:r>
      <w:proofErr w:type="spellStart"/>
      <w:r w:rsidRPr="009473A8">
        <w:rPr>
          <w:i/>
        </w:rPr>
        <w:t>Veh</w:t>
      </w:r>
      <w:proofErr w:type="spellEnd"/>
      <w:r w:rsidRPr="009473A8">
        <w:rPr>
          <w:i/>
        </w:rPr>
        <w:t>. Technol. Mag.</w:t>
      </w:r>
      <w:r w:rsidRPr="009473A8">
        <w:t>, vol. 8, pp. 47-53, Sept. 2013.</w:t>
      </w:r>
    </w:p>
    <w:p w:rsidR="00F86A4C" w:rsidRPr="009473A8" w:rsidRDefault="00E563FE" w:rsidP="00C26419">
      <w:pPr>
        <w:pStyle w:val="References"/>
      </w:pPr>
      <w:r w:rsidRPr="009473A8">
        <w:t xml:space="preserve">C. Liu, </w:t>
      </w:r>
      <w:r w:rsidRPr="009473A8">
        <w:rPr>
          <w:i/>
        </w:rPr>
        <w:t>et al.</w:t>
      </w:r>
      <w:r w:rsidRPr="009473A8">
        <w:t>: A Novel Multi-Service Small-Cell Cloud Radio Access Network for Mobile Backhaul and Computing Based on Radio-Over-</w:t>
      </w:r>
      <w:proofErr w:type="spellStart"/>
      <w:r w:rsidRPr="009473A8">
        <w:t>Fiber</w:t>
      </w:r>
      <w:proofErr w:type="spellEnd"/>
      <w:r w:rsidRPr="009473A8">
        <w:t xml:space="preserve"> Technologies, </w:t>
      </w:r>
      <w:r w:rsidRPr="009473A8">
        <w:rPr>
          <w:i/>
        </w:rPr>
        <w:t xml:space="preserve">J. </w:t>
      </w:r>
      <w:proofErr w:type="spellStart"/>
      <w:r w:rsidRPr="009473A8">
        <w:rPr>
          <w:i/>
        </w:rPr>
        <w:t>Lightwave</w:t>
      </w:r>
      <w:proofErr w:type="spellEnd"/>
      <w:r w:rsidRPr="009473A8">
        <w:rPr>
          <w:i/>
        </w:rPr>
        <w:t xml:space="preserve"> Technol.</w:t>
      </w:r>
      <w:r w:rsidRPr="009473A8">
        <w:t>, vol. 31, pp. 2869-75, 2013.</w:t>
      </w:r>
    </w:p>
    <w:p w:rsidR="00706339" w:rsidRPr="009473A8" w:rsidRDefault="00706339" w:rsidP="00706339">
      <w:pPr>
        <w:pStyle w:val="References"/>
      </w:pPr>
      <w:r w:rsidRPr="009473A8">
        <w:rPr>
          <w:lang w:val="en-US"/>
        </w:rPr>
        <w:t xml:space="preserve">S. </w:t>
      </w:r>
      <w:proofErr w:type="spellStart"/>
      <w:r w:rsidRPr="009473A8">
        <w:rPr>
          <w:lang w:val="en-US"/>
        </w:rPr>
        <w:t>Gingeri</w:t>
      </w:r>
      <w:proofErr w:type="spellEnd"/>
      <w:r w:rsidRPr="009473A8">
        <w:rPr>
          <w:lang w:val="en-US"/>
        </w:rPr>
        <w:t xml:space="preserve">, B. </w:t>
      </w:r>
      <w:proofErr w:type="spellStart"/>
      <w:r w:rsidRPr="009473A8">
        <w:rPr>
          <w:lang w:val="en-US"/>
        </w:rPr>
        <w:t>Basch</w:t>
      </w:r>
      <w:proofErr w:type="spellEnd"/>
      <w:r w:rsidRPr="009473A8">
        <w:rPr>
          <w:lang w:val="en-US"/>
        </w:rPr>
        <w:t>, V.</w:t>
      </w:r>
      <w:r w:rsidRPr="009473A8">
        <w:t xml:space="preserve"> </w:t>
      </w:r>
      <w:proofErr w:type="spellStart"/>
      <w:r w:rsidRPr="009473A8">
        <w:t>Shukla</w:t>
      </w:r>
      <w:proofErr w:type="spellEnd"/>
      <w:r w:rsidRPr="009473A8">
        <w:t xml:space="preserve">, R. </w:t>
      </w:r>
      <w:proofErr w:type="spellStart"/>
      <w:r w:rsidRPr="009473A8">
        <w:t>Egorov</w:t>
      </w:r>
      <w:proofErr w:type="spellEnd"/>
      <w:r w:rsidRPr="009473A8">
        <w:t xml:space="preserve">, T. Xia: Flexible Architectures for Optical Transport Nodes and Networks, </w:t>
      </w:r>
      <w:r w:rsidRPr="009473A8">
        <w:rPr>
          <w:i/>
        </w:rPr>
        <w:t>IEEE Comm. Mag.</w:t>
      </w:r>
      <w:r w:rsidRPr="009473A8">
        <w:t>, vol. 48, pp. 40-50, Jul. 2010.</w:t>
      </w:r>
    </w:p>
    <w:p w:rsidR="006F4B8D" w:rsidRPr="009473A8" w:rsidRDefault="006F4B8D" w:rsidP="00C26419">
      <w:pPr>
        <w:pStyle w:val="References"/>
      </w:pPr>
      <w:r w:rsidRPr="009473A8">
        <w:t xml:space="preserve">B. </w:t>
      </w:r>
      <w:proofErr w:type="spellStart"/>
      <w:r w:rsidRPr="009473A8">
        <w:t>Schrenk</w:t>
      </w:r>
      <w:proofErr w:type="spellEnd"/>
      <w:r w:rsidRPr="009473A8">
        <w:t xml:space="preserve">, A. </w:t>
      </w:r>
      <w:proofErr w:type="spellStart"/>
      <w:r w:rsidRPr="009473A8">
        <w:t>Poppe</w:t>
      </w:r>
      <w:proofErr w:type="spellEnd"/>
      <w:r w:rsidRPr="009473A8">
        <w:t xml:space="preserve">, M. </w:t>
      </w:r>
      <w:proofErr w:type="spellStart"/>
      <w:r w:rsidRPr="009473A8">
        <w:t>Stierle</w:t>
      </w:r>
      <w:proofErr w:type="spellEnd"/>
      <w:r w:rsidRPr="009473A8">
        <w:t xml:space="preserve">, H. Leopold: Fully-Passive Optical Switch Introducing Dynamicity and Flexibility to Metro-Access, </w:t>
      </w:r>
      <w:proofErr w:type="spellStart"/>
      <w:r w:rsidRPr="009473A8">
        <w:rPr>
          <w:i/>
        </w:rPr>
        <w:t>Phot</w:t>
      </w:r>
      <w:proofErr w:type="spellEnd"/>
      <w:r w:rsidRPr="009473A8">
        <w:rPr>
          <w:i/>
        </w:rPr>
        <w:t xml:space="preserve">. Technol. </w:t>
      </w:r>
      <w:proofErr w:type="spellStart"/>
      <w:r w:rsidRPr="009473A8">
        <w:rPr>
          <w:i/>
        </w:rPr>
        <w:t>Lett</w:t>
      </w:r>
      <w:proofErr w:type="spellEnd"/>
      <w:r w:rsidRPr="009473A8">
        <w:rPr>
          <w:i/>
        </w:rPr>
        <w:t>.</w:t>
      </w:r>
      <w:r w:rsidRPr="009473A8">
        <w:t>, vol. 27, pp. 486-489, Mar. 2015.</w:t>
      </w:r>
    </w:p>
    <w:p w:rsidR="006F4B8D" w:rsidRPr="009473A8" w:rsidRDefault="006F4B8D" w:rsidP="00C26419">
      <w:pPr>
        <w:pStyle w:val="References"/>
      </w:pPr>
      <w:r w:rsidRPr="009473A8">
        <w:t xml:space="preserve">B. </w:t>
      </w:r>
      <w:proofErr w:type="spellStart"/>
      <w:r w:rsidRPr="009473A8">
        <w:t>Schrenk</w:t>
      </w:r>
      <w:proofErr w:type="spellEnd"/>
      <w:r w:rsidRPr="009473A8">
        <w:t xml:space="preserve">, </w:t>
      </w:r>
      <w:r w:rsidRPr="009473A8">
        <w:rPr>
          <w:i/>
        </w:rPr>
        <w:t>et al.</w:t>
      </w:r>
      <w:r w:rsidRPr="009473A8">
        <w:t xml:space="preserve">: Fully-Passive Resiliency Switch for Agile PON Restoration, in </w:t>
      </w:r>
      <w:r w:rsidRPr="009473A8">
        <w:rPr>
          <w:i/>
        </w:rPr>
        <w:t>Proc. OFC’15</w:t>
      </w:r>
      <w:r w:rsidRPr="009473A8">
        <w:t>, Los Angeles, United States, Mar. 2015, paper W1J.6.</w:t>
      </w:r>
    </w:p>
    <w:sectPr w:rsidR="006F4B8D" w:rsidRPr="009473A8" w:rsidSect="00A06613">
      <w:pgSz w:w="11906" w:h="16838" w:code="9"/>
      <w:pgMar w:top="1418" w:right="1418" w:bottom="1418"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27E7344"/>
    <w:lvl w:ilvl="0">
      <w:start w:val="1"/>
      <w:numFmt w:val="decimal"/>
      <w:lvlText w:val="%1."/>
      <w:lvlJc w:val="left"/>
      <w:pPr>
        <w:tabs>
          <w:tab w:val="num" w:pos="1492"/>
        </w:tabs>
        <w:ind w:left="1492" w:hanging="360"/>
      </w:pPr>
    </w:lvl>
  </w:abstractNum>
  <w:abstractNum w:abstractNumId="1">
    <w:nsid w:val="FFFFFF7D"/>
    <w:multiLevelType w:val="singleLevel"/>
    <w:tmpl w:val="6950BB8A"/>
    <w:lvl w:ilvl="0">
      <w:start w:val="1"/>
      <w:numFmt w:val="decimal"/>
      <w:lvlText w:val="%1."/>
      <w:lvlJc w:val="left"/>
      <w:pPr>
        <w:tabs>
          <w:tab w:val="num" w:pos="1209"/>
        </w:tabs>
        <w:ind w:left="1209" w:hanging="360"/>
      </w:pPr>
    </w:lvl>
  </w:abstractNum>
  <w:abstractNum w:abstractNumId="2">
    <w:nsid w:val="FFFFFF7E"/>
    <w:multiLevelType w:val="singleLevel"/>
    <w:tmpl w:val="32F07496"/>
    <w:lvl w:ilvl="0">
      <w:start w:val="1"/>
      <w:numFmt w:val="decimal"/>
      <w:lvlText w:val="%1."/>
      <w:lvlJc w:val="left"/>
      <w:pPr>
        <w:tabs>
          <w:tab w:val="num" w:pos="926"/>
        </w:tabs>
        <w:ind w:left="926" w:hanging="360"/>
      </w:pPr>
    </w:lvl>
  </w:abstractNum>
  <w:abstractNum w:abstractNumId="3">
    <w:nsid w:val="FFFFFF7F"/>
    <w:multiLevelType w:val="singleLevel"/>
    <w:tmpl w:val="9CEA52C8"/>
    <w:lvl w:ilvl="0">
      <w:start w:val="1"/>
      <w:numFmt w:val="decimal"/>
      <w:lvlText w:val="%1."/>
      <w:lvlJc w:val="left"/>
      <w:pPr>
        <w:tabs>
          <w:tab w:val="num" w:pos="643"/>
        </w:tabs>
        <w:ind w:left="643" w:hanging="360"/>
      </w:pPr>
    </w:lvl>
  </w:abstractNum>
  <w:abstractNum w:abstractNumId="4">
    <w:nsid w:val="FFFFFF80"/>
    <w:multiLevelType w:val="singleLevel"/>
    <w:tmpl w:val="1DB028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926B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B1C1D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6432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52E92A8"/>
    <w:lvl w:ilvl="0">
      <w:start w:val="1"/>
      <w:numFmt w:val="decimal"/>
      <w:lvlText w:val="%1."/>
      <w:lvlJc w:val="left"/>
      <w:pPr>
        <w:tabs>
          <w:tab w:val="num" w:pos="360"/>
        </w:tabs>
        <w:ind w:left="360" w:hanging="360"/>
      </w:pPr>
    </w:lvl>
  </w:abstractNum>
  <w:abstractNum w:abstractNumId="9">
    <w:nsid w:val="FFFFFF89"/>
    <w:multiLevelType w:val="singleLevel"/>
    <w:tmpl w:val="5BFC3716"/>
    <w:lvl w:ilvl="0">
      <w:start w:val="1"/>
      <w:numFmt w:val="bullet"/>
      <w:lvlText w:val=""/>
      <w:lvlJc w:val="left"/>
      <w:pPr>
        <w:tabs>
          <w:tab w:val="num" w:pos="360"/>
        </w:tabs>
        <w:ind w:left="360" w:hanging="360"/>
      </w:pPr>
      <w:rPr>
        <w:rFonts w:ascii="Symbol" w:hAnsi="Symbol" w:hint="default"/>
      </w:rPr>
    </w:lvl>
  </w:abstractNum>
  <w:abstractNum w:abstractNumId="10">
    <w:nsid w:val="040F638D"/>
    <w:multiLevelType w:val="multilevel"/>
    <w:tmpl w:val="9B0A69EE"/>
    <w:numStyleLink w:val="StylListKonspektynumerowane"/>
  </w:abstractNum>
  <w:abstractNum w:abstractNumId="11">
    <w:nsid w:val="08990E99"/>
    <w:multiLevelType w:val="hybridMultilevel"/>
    <w:tmpl w:val="6DD27868"/>
    <w:lvl w:ilvl="0" w:tplc="51B63924">
      <w:start w:val="2"/>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090A02F6"/>
    <w:multiLevelType w:val="hybridMultilevel"/>
    <w:tmpl w:val="8DA2EE0E"/>
    <w:lvl w:ilvl="0" w:tplc="99943E86">
      <w:start w:val="1"/>
      <w:numFmt w:val="bullet"/>
      <w:lvlText w:val=""/>
      <w:lvlJc w:val="left"/>
      <w:pPr>
        <w:tabs>
          <w:tab w:val="num" w:pos="284"/>
        </w:tabs>
        <w:ind w:left="425"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0AE1151A"/>
    <w:multiLevelType w:val="multilevel"/>
    <w:tmpl w:val="9B0A69EE"/>
    <w:lvl w:ilvl="0">
      <w:start w:val="1"/>
      <w:numFmt w:val="bullet"/>
      <w:lvlText w:val=""/>
      <w:lvlJc w:val="left"/>
      <w:pPr>
        <w:tabs>
          <w:tab w:val="num" w:pos="720"/>
        </w:tabs>
        <w:ind w:left="720" w:hanging="436"/>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E2433C8"/>
    <w:multiLevelType w:val="multilevel"/>
    <w:tmpl w:val="FC665752"/>
    <w:lvl w:ilvl="0">
      <w:start w:val="1"/>
      <w:numFmt w:val="decimal"/>
      <w:suff w:val="space"/>
      <w:lvlText w:val="%1."/>
      <w:lvlJc w:val="left"/>
      <w:pPr>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
    <w:nsid w:val="11B4560D"/>
    <w:multiLevelType w:val="multilevel"/>
    <w:tmpl w:val="D1AA273C"/>
    <w:lvl w:ilvl="0">
      <w:start w:val="1"/>
      <w:numFmt w:val="decimal"/>
      <w:suff w:val="space"/>
      <w:lvlText w:val="%1."/>
      <w:lvlJc w:val="left"/>
      <w:pPr>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nsid w:val="14F656F2"/>
    <w:multiLevelType w:val="hybridMultilevel"/>
    <w:tmpl w:val="9B0A69EE"/>
    <w:lvl w:ilvl="0" w:tplc="E5C2BFEA">
      <w:start w:val="1"/>
      <w:numFmt w:val="bullet"/>
      <w:lvlText w:val=""/>
      <w:lvlJc w:val="left"/>
      <w:pPr>
        <w:tabs>
          <w:tab w:val="num" w:pos="720"/>
        </w:tabs>
        <w:ind w:left="720" w:hanging="436"/>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16876C72"/>
    <w:multiLevelType w:val="multilevel"/>
    <w:tmpl w:val="E28475C6"/>
    <w:lvl w:ilvl="0">
      <w:start w:val="1"/>
      <w:numFmt w:val="decimal"/>
      <w:lvlText w:val="%1."/>
      <w:lvlJc w:val="left"/>
      <w:pPr>
        <w:tabs>
          <w:tab w:val="num" w:pos="0"/>
        </w:tabs>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nsid w:val="1ACF2716"/>
    <w:multiLevelType w:val="multilevel"/>
    <w:tmpl w:val="95426D0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1B6A60E1"/>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DBA1935"/>
    <w:multiLevelType w:val="multilevel"/>
    <w:tmpl w:val="E28475C6"/>
    <w:lvl w:ilvl="0">
      <w:start w:val="1"/>
      <w:numFmt w:val="decimal"/>
      <w:lvlText w:val="%1."/>
      <w:lvlJc w:val="left"/>
      <w:pPr>
        <w:tabs>
          <w:tab w:val="num" w:pos="0"/>
        </w:tabs>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nsid w:val="252945E0"/>
    <w:multiLevelType w:val="multilevel"/>
    <w:tmpl w:val="9B0A69EE"/>
    <w:lvl w:ilvl="0">
      <w:start w:val="1"/>
      <w:numFmt w:val="bullet"/>
      <w:lvlText w:val=""/>
      <w:lvlJc w:val="left"/>
      <w:pPr>
        <w:tabs>
          <w:tab w:val="num" w:pos="720"/>
        </w:tabs>
        <w:ind w:left="720" w:hanging="436"/>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A45467B"/>
    <w:multiLevelType w:val="multilevel"/>
    <w:tmpl w:val="2C447526"/>
    <w:lvl w:ilvl="0">
      <w:start w:val="1"/>
      <w:numFmt w:val="decimal"/>
      <w:lvlText w:val="%1."/>
      <w:lvlJc w:val="left"/>
      <w:pPr>
        <w:tabs>
          <w:tab w:val="num" w:pos="0"/>
        </w:tabs>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lvlText w:val="%1.%2"/>
      <w:lvlJc w:val="left"/>
      <w:pPr>
        <w:tabs>
          <w:tab w:val="num" w:pos="142"/>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3">
    <w:nsid w:val="2F4F2080"/>
    <w:multiLevelType w:val="multilevel"/>
    <w:tmpl w:val="03809E0A"/>
    <w:lvl w:ilvl="0">
      <w:start w:val="1"/>
      <w:numFmt w:val="decimal"/>
      <w:suff w:val="space"/>
      <w:lvlText w:val="%1."/>
      <w:lvlJc w:val="left"/>
      <w:pPr>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nsid w:val="31B47782"/>
    <w:multiLevelType w:val="multilevel"/>
    <w:tmpl w:val="9B0A69EE"/>
    <w:lvl w:ilvl="0">
      <w:start w:val="1"/>
      <w:numFmt w:val="bullet"/>
      <w:lvlText w:val=""/>
      <w:lvlJc w:val="left"/>
      <w:pPr>
        <w:tabs>
          <w:tab w:val="num" w:pos="720"/>
        </w:tabs>
        <w:ind w:left="720" w:hanging="436"/>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2A47D45"/>
    <w:multiLevelType w:val="multilevel"/>
    <w:tmpl w:val="F8C8B272"/>
    <w:lvl w:ilvl="0">
      <w:start w:val="1"/>
      <w:numFmt w:val="decimal"/>
      <w:suff w:val="space"/>
      <w:lvlText w:val="%1."/>
      <w:lvlJc w:val="left"/>
      <w:pPr>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
    <w:nsid w:val="332835CD"/>
    <w:multiLevelType w:val="multilevel"/>
    <w:tmpl w:val="19D0A96C"/>
    <w:lvl w:ilvl="0">
      <w:start w:val="1"/>
      <w:numFmt w:val="decimal"/>
      <w:suff w:val="space"/>
      <w:lvlText w:val="%1."/>
      <w:lvlJc w:val="left"/>
      <w:pPr>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nsid w:val="3B0037D6"/>
    <w:multiLevelType w:val="multilevel"/>
    <w:tmpl w:val="9B0A69EE"/>
    <w:numStyleLink w:val="StylListKonspektynumerowane"/>
  </w:abstractNum>
  <w:abstractNum w:abstractNumId="28">
    <w:nsid w:val="3DAC3EAC"/>
    <w:multiLevelType w:val="multilevel"/>
    <w:tmpl w:val="678AA210"/>
    <w:lvl w:ilvl="0">
      <w:start w:val="1"/>
      <w:numFmt w:val="decimal"/>
      <w:suff w:val="space"/>
      <w:lvlText w:val="%1."/>
      <w:lvlJc w:val="left"/>
      <w:pPr>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nsid w:val="4BD44F4D"/>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4FB454C"/>
    <w:multiLevelType w:val="multilevel"/>
    <w:tmpl w:val="9B0A69EE"/>
    <w:numStyleLink w:val="StylListKonspektynumerowane"/>
  </w:abstractNum>
  <w:abstractNum w:abstractNumId="31">
    <w:nsid w:val="65040C1A"/>
    <w:multiLevelType w:val="multilevel"/>
    <w:tmpl w:val="03809E0A"/>
    <w:lvl w:ilvl="0">
      <w:start w:val="1"/>
      <w:numFmt w:val="decimal"/>
      <w:pStyle w:val="Heading1"/>
      <w:suff w:val="space"/>
      <w:lvlText w:val="%1."/>
      <w:lvlJc w:val="left"/>
      <w:pPr>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32">
    <w:nsid w:val="68F84D89"/>
    <w:multiLevelType w:val="multilevel"/>
    <w:tmpl w:val="1CBA59E4"/>
    <w:lvl w:ilvl="0">
      <w:start w:val="1"/>
      <w:numFmt w:val="decimal"/>
      <w:suff w:val="space"/>
      <w:lvlText w:val="%1."/>
      <w:lvlJc w:val="left"/>
      <w:pPr>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lvlText w:val="%1.%2"/>
      <w:lvlJc w:val="left"/>
      <w:pPr>
        <w:tabs>
          <w:tab w:val="num" w:pos="142"/>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3">
    <w:nsid w:val="69E24F0F"/>
    <w:multiLevelType w:val="hybridMultilevel"/>
    <w:tmpl w:val="95426D0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69F5235B"/>
    <w:multiLevelType w:val="multilevel"/>
    <w:tmpl w:val="76144B5C"/>
    <w:lvl w:ilvl="0">
      <w:start w:val="1"/>
      <w:numFmt w:val="decimal"/>
      <w:lvlText w:val="%1."/>
      <w:lvlJc w:val="left"/>
      <w:pPr>
        <w:tabs>
          <w:tab w:val="num" w:pos="0"/>
        </w:tabs>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lvlText w:val="%1.%2"/>
      <w:lvlJc w:val="left"/>
      <w:pPr>
        <w:tabs>
          <w:tab w:val="num" w:pos="284"/>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5">
    <w:nsid w:val="6A905DE8"/>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D7E4BD5"/>
    <w:multiLevelType w:val="multilevel"/>
    <w:tmpl w:val="89CAB056"/>
    <w:lvl w:ilvl="0">
      <w:start w:val="1"/>
      <w:numFmt w:val="decimal"/>
      <w:suff w:val="space"/>
      <w:lvlText w:val="%1."/>
      <w:lvlJc w:val="left"/>
      <w:pPr>
        <w:ind w:left="0" w:firstLine="0"/>
      </w:pPr>
      <w:rPr>
        <w:rFonts w:ascii="Times New Roman" w:hAnsi="Times New Roman" w:hint="default"/>
        <w:b/>
        <w:i w:val="0"/>
        <w:caps w:val="0"/>
        <w:strike w:val="0"/>
        <w:dstrike w:val="0"/>
        <w:outline w:val="0"/>
        <w:shadow w:val="0"/>
        <w:emboss w:val="0"/>
        <w:imprint w:val="0"/>
        <w:vanish w:val="0"/>
        <w:sz w:val="20"/>
        <w:szCs w:val="20"/>
        <w:vertAlign w:val="baseline"/>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7">
    <w:nsid w:val="6E266B46"/>
    <w:multiLevelType w:val="hybridMultilevel"/>
    <w:tmpl w:val="213C62C8"/>
    <w:lvl w:ilvl="0" w:tplc="CFA8DD30">
      <w:start w:val="1"/>
      <w:numFmt w:val="decimal"/>
      <w:pStyle w:val="References"/>
      <w:lvlText w:val="[%1]"/>
      <w:lvlJc w:val="left"/>
      <w:pPr>
        <w:tabs>
          <w:tab w:val="num" w:pos="454"/>
        </w:tabs>
        <w:ind w:left="454" w:hanging="45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70717AB8"/>
    <w:multiLevelType w:val="multilevel"/>
    <w:tmpl w:val="9B0A69EE"/>
    <w:styleLink w:val="StylListKonspektynumerowane"/>
    <w:lvl w:ilvl="0">
      <w:start w:val="1"/>
      <w:numFmt w:val="bullet"/>
      <w:lvlText w:val=""/>
      <w:lvlJc w:val="left"/>
      <w:pPr>
        <w:tabs>
          <w:tab w:val="num" w:pos="720"/>
        </w:tabs>
        <w:ind w:left="720" w:hanging="436"/>
      </w:pPr>
      <w:rPr>
        <w:rFonts w:ascii="Times New Roman" w:hAnsi="Times New Roman"/>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63A6EDC"/>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6600D32"/>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A7E0ECA"/>
    <w:multiLevelType w:val="multilevel"/>
    <w:tmpl w:val="95426D0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7E9D1E35"/>
    <w:multiLevelType w:val="multilevel"/>
    <w:tmpl w:val="9B0A69EE"/>
    <w:lvl w:ilvl="0">
      <w:start w:val="1"/>
      <w:numFmt w:val="bullet"/>
      <w:lvlText w:val=""/>
      <w:lvlJc w:val="left"/>
      <w:pPr>
        <w:tabs>
          <w:tab w:val="num" w:pos="720"/>
        </w:tabs>
        <w:ind w:left="720" w:hanging="436"/>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7EC80893"/>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1"/>
  </w:num>
  <w:num w:numId="12">
    <w:abstractNumId w:val="17"/>
  </w:num>
  <w:num w:numId="13">
    <w:abstractNumId w:val="29"/>
  </w:num>
  <w:num w:numId="14">
    <w:abstractNumId w:val="35"/>
  </w:num>
  <w:num w:numId="15">
    <w:abstractNumId w:val="39"/>
  </w:num>
  <w:num w:numId="16">
    <w:abstractNumId w:val="40"/>
  </w:num>
  <w:num w:numId="17">
    <w:abstractNumId w:val="43"/>
  </w:num>
  <w:num w:numId="18">
    <w:abstractNumId w:val="20"/>
  </w:num>
  <w:num w:numId="19">
    <w:abstractNumId w:val="34"/>
  </w:num>
  <w:num w:numId="20">
    <w:abstractNumId w:val="22"/>
  </w:num>
  <w:num w:numId="21">
    <w:abstractNumId w:val="32"/>
  </w:num>
  <w:num w:numId="22">
    <w:abstractNumId w:val="36"/>
  </w:num>
  <w:num w:numId="23">
    <w:abstractNumId w:val="25"/>
  </w:num>
  <w:num w:numId="24">
    <w:abstractNumId w:val="26"/>
  </w:num>
  <w:num w:numId="25">
    <w:abstractNumId w:val="19"/>
  </w:num>
  <w:num w:numId="26">
    <w:abstractNumId w:val="15"/>
  </w:num>
  <w:num w:numId="27">
    <w:abstractNumId w:val="14"/>
  </w:num>
  <w:num w:numId="28">
    <w:abstractNumId w:val="28"/>
  </w:num>
  <w:num w:numId="29">
    <w:abstractNumId w:val="33"/>
  </w:num>
  <w:num w:numId="30">
    <w:abstractNumId w:val="18"/>
  </w:num>
  <w:num w:numId="31">
    <w:abstractNumId w:val="41"/>
  </w:num>
  <w:num w:numId="32">
    <w:abstractNumId w:val="16"/>
  </w:num>
  <w:num w:numId="33">
    <w:abstractNumId w:val="24"/>
  </w:num>
  <w:num w:numId="34">
    <w:abstractNumId w:val="27"/>
  </w:num>
  <w:num w:numId="35">
    <w:abstractNumId w:val="13"/>
  </w:num>
  <w:num w:numId="36">
    <w:abstractNumId w:val="42"/>
  </w:num>
  <w:num w:numId="37">
    <w:abstractNumId w:val="21"/>
  </w:num>
  <w:num w:numId="38">
    <w:abstractNumId w:val="38"/>
  </w:num>
  <w:num w:numId="39">
    <w:abstractNumId w:val="10"/>
  </w:num>
  <w:num w:numId="40">
    <w:abstractNumId w:val="30"/>
  </w:num>
  <w:num w:numId="41">
    <w:abstractNumId w:val="12"/>
  </w:num>
  <w:num w:numId="42">
    <w:abstractNumId w:val="31"/>
  </w:num>
  <w:num w:numId="43">
    <w:abstractNumId w:val="37"/>
  </w:num>
  <w:num w:numId="44">
    <w:abstractNumId w:val="23"/>
  </w:num>
  <w:num w:numId="45">
    <w:abstractNumId w:val="31"/>
  </w:num>
  <w:num w:numId="46">
    <w:abstractNumId w:val="31"/>
  </w:num>
  <w:num w:numId="47">
    <w:abstractNumId w:val="31"/>
  </w:num>
  <w:num w:numId="48">
    <w:abstractNumId w:val="31"/>
  </w:num>
  <w:num w:numId="4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mirrorMargins/>
  <w:proofState w:spelling="clean" w:grammar="clean"/>
  <w:stylePaneFormatFilter w:val="3F01"/>
  <w:defaultTabStop w:val="709"/>
  <w:hyphenationZone w:val="425"/>
  <w:evenAndOddHeaders/>
  <w:drawingGridHorizontalSpacing w:val="57"/>
  <w:drawingGridVerticalSpacing w:val="57"/>
  <w:doNotUseMarginsForDrawingGridOrigin/>
  <w:drawingGridHorizontalOrigin w:val="1418"/>
  <w:drawingGridVerticalOrigin w:val="1418"/>
  <w:characterSpacingControl w:val="doNotCompress"/>
  <w:compat/>
  <w:rsids>
    <w:rsidRoot w:val="00D90474"/>
    <w:rsid w:val="000229BB"/>
    <w:rsid w:val="00024867"/>
    <w:rsid w:val="00030831"/>
    <w:rsid w:val="00030F19"/>
    <w:rsid w:val="00036F82"/>
    <w:rsid w:val="00050F41"/>
    <w:rsid w:val="00062130"/>
    <w:rsid w:val="000624BD"/>
    <w:rsid w:val="000747AC"/>
    <w:rsid w:val="00075440"/>
    <w:rsid w:val="00077AEE"/>
    <w:rsid w:val="00080650"/>
    <w:rsid w:val="00090592"/>
    <w:rsid w:val="000A5C1C"/>
    <w:rsid w:val="000B050D"/>
    <w:rsid w:val="000C3761"/>
    <w:rsid w:val="000D4275"/>
    <w:rsid w:val="000D755B"/>
    <w:rsid w:val="000E36AF"/>
    <w:rsid w:val="000E4784"/>
    <w:rsid w:val="000E7703"/>
    <w:rsid w:val="000F2E41"/>
    <w:rsid w:val="000F3295"/>
    <w:rsid w:val="000F6127"/>
    <w:rsid w:val="001141DC"/>
    <w:rsid w:val="0012253E"/>
    <w:rsid w:val="001342B3"/>
    <w:rsid w:val="00140895"/>
    <w:rsid w:val="00147F82"/>
    <w:rsid w:val="00162606"/>
    <w:rsid w:val="0016656B"/>
    <w:rsid w:val="00171E92"/>
    <w:rsid w:val="00175165"/>
    <w:rsid w:val="00176663"/>
    <w:rsid w:val="00177CD1"/>
    <w:rsid w:val="00182877"/>
    <w:rsid w:val="00185CEC"/>
    <w:rsid w:val="001934AE"/>
    <w:rsid w:val="00193F02"/>
    <w:rsid w:val="0019738D"/>
    <w:rsid w:val="00197C8B"/>
    <w:rsid w:val="001B4D4A"/>
    <w:rsid w:val="001C4CE2"/>
    <w:rsid w:val="001C75E3"/>
    <w:rsid w:val="001D0716"/>
    <w:rsid w:val="001D58FE"/>
    <w:rsid w:val="001E4764"/>
    <w:rsid w:val="001E4C05"/>
    <w:rsid w:val="001E71CA"/>
    <w:rsid w:val="001F15C3"/>
    <w:rsid w:val="001F3B42"/>
    <w:rsid w:val="001F54E1"/>
    <w:rsid w:val="00204E2A"/>
    <w:rsid w:val="00206EA6"/>
    <w:rsid w:val="0021138F"/>
    <w:rsid w:val="00235662"/>
    <w:rsid w:val="00245EF2"/>
    <w:rsid w:val="0025220C"/>
    <w:rsid w:val="00254449"/>
    <w:rsid w:val="0026038C"/>
    <w:rsid w:val="002701A3"/>
    <w:rsid w:val="0027093C"/>
    <w:rsid w:val="00274562"/>
    <w:rsid w:val="00276806"/>
    <w:rsid w:val="00281E6A"/>
    <w:rsid w:val="0029148B"/>
    <w:rsid w:val="00297630"/>
    <w:rsid w:val="00297654"/>
    <w:rsid w:val="002A106F"/>
    <w:rsid w:val="002A7643"/>
    <w:rsid w:val="002B15E8"/>
    <w:rsid w:val="002B5DCE"/>
    <w:rsid w:val="002C1648"/>
    <w:rsid w:val="002C4BDD"/>
    <w:rsid w:val="002E0DAF"/>
    <w:rsid w:val="002E4852"/>
    <w:rsid w:val="002F0A9E"/>
    <w:rsid w:val="002F5FCC"/>
    <w:rsid w:val="00310CF2"/>
    <w:rsid w:val="00337F62"/>
    <w:rsid w:val="00345E75"/>
    <w:rsid w:val="00360DAD"/>
    <w:rsid w:val="00367EE0"/>
    <w:rsid w:val="00375221"/>
    <w:rsid w:val="00375D8C"/>
    <w:rsid w:val="00377C26"/>
    <w:rsid w:val="00380814"/>
    <w:rsid w:val="00397332"/>
    <w:rsid w:val="00397C8D"/>
    <w:rsid w:val="003A36D2"/>
    <w:rsid w:val="003A4A24"/>
    <w:rsid w:val="003A7442"/>
    <w:rsid w:val="003D1544"/>
    <w:rsid w:val="003D5730"/>
    <w:rsid w:val="003E1984"/>
    <w:rsid w:val="003F7B3F"/>
    <w:rsid w:val="00427E94"/>
    <w:rsid w:val="00437DA3"/>
    <w:rsid w:val="00446F80"/>
    <w:rsid w:val="004573DC"/>
    <w:rsid w:val="004635C5"/>
    <w:rsid w:val="00465D9E"/>
    <w:rsid w:val="00473BF0"/>
    <w:rsid w:val="00473C80"/>
    <w:rsid w:val="004770B3"/>
    <w:rsid w:val="004A08FD"/>
    <w:rsid w:val="004A2FFD"/>
    <w:rsid w:val="004A5960"/>
    <w:rsid w:val="004A651A"/>
    <w:rsid w:val="004C4F37"/>
    <w:rsid w:val="004C7BF5"/>
    <w:rsid w:val="004E17BA"/>
    <w:rsid w:val="004E17E3"/>
    <w:rsid w:val="004E3698"/>
    <w:rsid w:val="004E575E"/>
    <w:rsid w:val="004F71F6"/>
    <w:rsid w:val="005000D6"/>
    <w:rsid w:val="00514BCC"/>
    <w:rsid w:val="005227F3"/>
    <w:rsid w:val="00525474"/>
    <w:rsid w:val="00526869"/>
    <w:rsid w:val="00532E54"/>
    <w:rsid w:val="00534AE8"/>
    <w:rsid w:val="005366F2"/>
    <w:rsid w:val="00543B0D"/>
    <w:rsid w:val="0054517C"/>
    <w:rsid w:val="00555E1F"/>
    <w:rsid w:val="005609C3"/>
    <w:rsid w:val="0056233F"/>
    <w:rsid w:val="0056380E"/>
    <w:rsid w:val="005639BC"/>
    <w:rsid w:val="005643B2"/>
    <w:rsid w:val="00566151"/>
    <w:rsid w:val="00572C24"/>
    <w:rsid w:val="00573E2B"/>
    <w:rsid w:val="00580C4B"/>
    <w:rsid w:val="00582EB5"/>
    <w:rsid w:val="00587692"/>
    <w:rsid w:val="00597FB9"/>
    <w:rsid w:val="005A4692"/>
    <w:rsid w:val="005A4DA6"/>
    <w:rsid w:val="005B2F3F"/>
    <w:rsid w:val="005B6E77"/>
    <w:rsid w:val="005C3C44"/>
    <w:rsid w:val="005C3F1B"/>
    <w:rsid w:val="005C6986"/>
    <w:rsid w:val="005D0B81"/>
    <w:rsid w:val="005E48B7"/>
    <w:rsid w:val="005F49C9"/>
    <w:rsid w:val="005F6291"/>
    <w:rsid w:val="005F7D55"/>
    <w:rsid w:val="00603508"/>
    <w:rsid w:val="00604B30"/>
    <w:rsid w:val="0061260A"/>
    <w:rsid w:val="00615D13"/>
    <w:rsid w:val="006212D2"/>
    <w:rsid w:val="00624471"/>
    <w:rsid w:val="00630FE2"/>
    <w:rsid w:val="00641EB0"/>
    <w:rsid w:val="00643FF3"/>
    <w:rsid w:val="006639B1"/>
    <w:rsid w:val="00671473"/>
    <w:rsid w:val="00681A7C"/>
    <w:rsid w:val="00684559"/>
    <w:rsid w:val="0068468E"/>
    <w:rsid w:val="006A0682"/>
    <w:rsid w:val="006A434F"/>
    <w:rsid w:val="006B54AE"/>
    <w:rsid w:val="006B7EFA"/>
    <w:rsid w:val="006C620C"/>
    <w:rsid w:val="006C7093"/>
    <w:rsid w:val="006F161F"/>
    <w:rsid w:val="006F4B8D"/>
    <w:rsid w:val="006F4D7F"/>
    <w:rsid w:val="0070104A"/>
    <w:rsid w:val="007034B2"/>
    <w:rsid w:val="0070444F"/>
    <w:rsid w:val="00706339"/>
    <w:rsid w:val="0071004A"/>
    <w:rsid w:val="00716402"/>
    <w:rsid w:val="00721C55"/>
    <w:rsid w:val="00730A9E"/>
    <w:rsid w:val="007359C9"/>
    <w:rsid w:val="007372EA"/>
    <w:rsid w:val="00744B32"/>
    <w:rsid w:val="00746C98"/>
    <w:rsid w:val="00770C0E"/>
    <w:rsid w:val="007754C0"/>
    <w:rsid w:val="007A2C0D"/>
    <w:rsid w:val="007B1031"/>
    <w:rsid w:val="007C5B96"/>
    <w:rsid w:val="007D3508"/>
    <w:rsid w:val="007E2A58"/>
    <w:rsid w:val="007E51B1"/>
    <w:rsid w:val="00812B5A"/>
    <w:rsid w:val="00830E23"/>
    <w:rsid w:val="00852590"/>
    <w:rsid w:val="00854574"/>
    <w:rsid w:val="00860B22"/>
    <w:rsid w:val="00860CAB"/>
    <w:rsid w:val="008622FD"/>
    <w:rsid w:val="008635DF"/>
    <w:rsid w:val="00870840"/>
    <w:rsid w:val="00874810"/>
    <w:rsid w:val="0087585C"/>
    <w:rsid w:val="00876A72"/>
    <w:rsid w:val="0088174A"/>
    <w:rsid w:val="0088730D"/>
    <w:rsid w:val="008910B9"/>
    <w:rsid w:val="00892CE2"/>
    <w:rsid w:val="0089305F"/>
    <w:rsid w:val="00894FB1"/>
    <w:rsid w:val="00895758"/>
    <w:rsid w:val="008A5FE3"/>
    <w:rsid w:val="008B0655"/>
    <w:rsid w:val="008B1B99"/>
    <w:rsid w:val="008C176B"/>
    <w:rsid w:val="008C194C"/>
    <w:rsid w:val="008C2F1B"/>
    <w:rsid w:val="008C7FC7"/>
    <w:rsid w:val="008D4B8C"/>
    <w:rsid w:val="008E020B"/>
    <w:rsid w:val="008E4934"/>
    <w:rsid w:val="008E543F"/>
    <w:rsid w:val="008F5302"/>
    <w:rsid w:val="00901058"/>
    <w:rsid w:val="00903DE5"/>
    <w:rsid w:val="00915C67"/>
    <w:rsid w:val="00926815"/>
    <w:rsid w:val="009473A8"/>
    <w:rsid w:val="00951BE3"/>
    <w:rsid w:val="009552BC"/>
    <w:rsid w:val="00957407"/>
    <w:rsid w:val="009710AF"/>
    <w:rsid w:val="00973E24"/>
    <w:rsid w:val="00993F92"/>
    <w:rsid w:val="00994963"/>
    <w:rsid w:val="009A50CE"/>
    <w:rsid w:val="009A66AD"/>
    <w:rsid w:val="009A7C70"/>
    <w:rsid w:val="009B1F29"/>
    <w:rsid w:val="009B2B9D"/>
    <w:rsid w:val="009C3FEC"/>
    <w:rsid w:val="009C5F87"/>
    <w:rsid w:val="009C7C8F"/>
    <w:rsid w:val="009D64D1"/>
    <w:rsid w:val="009D6E58"/>
    <w:rsid w:val="009E1ED5"/>
    <w:rsid w:val="009E65F9"/>
    <w:rsid w:val="009F267E"/>
    <w:rsid w:val="009F4DD1"/>
    <w:rsid w:val="009F57AB"/>
    <w:rsid w:val="009F698D"/>
    <w:rsid w:val="00A03491"/>
    <w:rsid w:val="00A04B7C"/>
    <w:rsid w:val="00A06613"/>
    <w:rsid w:val="00A13E95"/>
    <w:rsid w:val="00A17100"/>
    <w:rsid w:val="00A20A97"/>
    <w:rsid w:val="00A20F1A"/>
    <w:rsid w:val="00A2151C"/>
    <w:rsid w:val="00A21FD5"/>
    <w:rsid w:val="00A23C63"/>
    <w:rsid w:val="00A33B10"/>
    <w:rsid w:val="00A44861"/>
    <w:rsid w:val="00A50960"/>
    <w:rsid w:val="00A614AC"/>
    <w:rsid w:val="00A65653"/>
    <w:rsid w:val="00A7672F"/>
    <w:rsid w:val="00A854E8"/>
    <w:rsid w:val="00A95ADA"/>
    <w:rsid w:val="00AC4BC8"/>
    <w:rsid w:val="00AC586F"/>
    <w:rsid w:val="00AC5DC6"/>
    <w:rsid w:val="00AD4D9C"/>
    <w:rsid w:val="00AF1935"/>
    <w:rsid w:val="00B10D6D"/>
    <w:rsid w:val="00B22BF6"/>
    <w:rsid w:val="00B279EC"/>
    <w:rsid w:val="00B317A3"/>
    <w:rsid w:val="00B33E1F"/>
    <w:rsid w:val="00B34CEC"/>
    <w:rsid w:val="00B36DF7"/>
    <w:rsid w:val="00B3712E"/>
    <w:rsid w:val="00B376F1"/>
    <w:rsid w:val="00B55524"/>
    <w:rsid w:val="00B601E4"/>
    <w:rsid w:val="00B6309C"/>
    <w:rsid w:val="00B934E3"/>
    <w:rsid w:val="00B93C6C"/>
    <w:rsid w:val="00BA5028"/>
    <w:rsid w:val="00BA718D"/>
    <w:rsid w:val="00BA74BA"/>
    <w:rsid w:val="00BB2402"/>
    <w:rsid w:val="00BB28FE"/>
    <w:rsid w:val="00BB43F4"/>
    <w:rsid w:val="00BC308B"/>
    <w:rsid w:val="00BC71E6"/>
    <w:rsid w:val="00BE39B9"/>
    <w:rsid w:val="00BE7C7C"/>
    <w:rsid w:val="00BF6551"/>
    <w:rsid w:val="00BF6F57"/>
    <w:rsid w:val="00C000F3"/>
    <w:rsid w:val="00C028EC"/>
    <w:rsid w:val="00C078CF"/>
    <w:rsid w:val="00C07A27"/>
    <w:rsid w:val="00C26419"/>
    <w:rsid w:val="00C269B5"/>
    <w:rsid w:val="00C277CB"/>
    <w:rsid w:val="00C3042D"/>
    <w:rsid w:val="00C432C4"/>
    <w:rsid w:val="00C725FC"/>
    <w:rsid w:val="00C75BD1"/>
    <w:rsid w:val="00C85D8C"/>
    <w:rsid w:val="00CA20A2"/>
    <w:rsid w:val="00CB02E4"/>
    <w:rsid w:val="00CB165E"/>
    <w:rsid w:val="00CC32EC"/>
    <w:rsid w:val="00CC6C6C"/>
    <w:rsid w:val="00CD0030"/>
    <w:rsid w:val="00CD429C"/>
    <w:rsid w:val="00CD723C"/>
    <w:rsid w:val="00CE3A03"/>
    <w:rsid w:val="00CE3DAD"/>
    <w:rsid w:val="00CE5875"/>
    <w:rsid w:val="00D03B35"/>
    <w:rsid w:val="00D14E7C"/>
    <w:rsid w:val="00D20F5F"/>
    <w:rsid w:val="00D21F16"/>
    <w:rsid w:val="00D322C4"/>
    <w:rsid w:val="00D3776E"/>
    <w:rsid w:val="00D43A04"/>
    <w:rsid w:val="00D50B66"/>
    <w:rsid w:val="00D54C38"/>
    <w:rsid w:val="00D62562"/>
    <w:rsid w:val="00D73CDE"/>
    <w:rsid w:val="00D83AFF"/>
    <w:rsid w:val="00D90474"/>
    <w:rsid w:val="00D95D11"/>
    <w:rsid w:val="00D97500"/>
    <w:rsid w:val="00DA42E7"/>
    <w:rsid w:val="00DA4DBE"/>
    <w:rsid w:val="00DB26F5"/>
    <w:rsid w:val="00DB2E21"/>
    <w:rsid w:val="00DC1693"/>
    <w:rsid w:val="00DC53F5"/>
    <w:rsid w:val="00DD2F7E"/>
    <w:rsid w:val="00DD50CA"/>
    <w:rsid w:val="00DF68EF"/>
    <w:rsid w:val="00E1059E"/>
    <w:rsid w:val="00E24FB3"/>
    <w:rsid w:val="00E30827"/>
    <w:rsid w:val="00E31BDC"/>
    <w:rsid w:val="00E35268"/>
    <w:rsid w:val="00E36FFF"/>
    <w:rsid w:val="00E43562"/>
    <w:rsid w:val="00E509EB"/>
    <w:rsid w:val="00E563FE"/>
    <w:rsid w:val="00E64090"/>
    <w:rsid w:val="00E81EBC"/>
    <w:rsid w:val="00E842A0"/>
    <w:rsid w:val="00E84BF2"/>
    <w:rsid w:val="00E8620B"/>
    <w:rsid w:val="00E96E8E"/>
    <w:rsid w:val="00E97821"/>
    <w:rsid w:val="00EA14C6"/>
    <w:rsid w:val="00EA592D"/>
    <w:rsid w:val="00EA67B1"/>
    <w:rsid w:val="00EB46D3"/>
    <w:rsid w:val="00EB50CE"/>
    <w:rsid w:val="00EB6454"/>
    <w:rsid w:val="00EC35D5"/>
    <w:rsid w:val="00EC4205"/>
    <w:rsid w:val="00EC637C"/>
    <w:rsid w:val="00EC6FDE"/>
    <w:rsid w:val="00ED706C"/>
    <w:rsid w:val="00EE2170"/>
    <w:rsid w:val="00EE3FAE"/>
    <w:rsid w:val="00EE699F"/>
    <w:rsid w:val="00EF7FA4"/>
    <w:rsid w:val="00F00D2B"/>
    <w:rsid w:val="00F11361"/>
    <w:rsid w:val="00F2046E"/>
    <w:rsid w:val="00F226A6"/>
    <w:rsid w:val="00F233B3"/>
    <w:rsid w:val="00F2353D"/>
    <w:rsid w:val="00F31FF0"/>
    <w:rsid w:val="00F6214F"/>
    <w:rsid w:val="00F6384C"/>
    <w:rsid w:val="00F73381"/>
    <w:rsid w:val="00F76EBE"/>
    <w:rsid w:val="00F810BA"/>
    <w:rsid w:val="00F86A4C"/>
    <w:rsid w:val="00F87E29"/>
    <w:rsid w:val="00F90DDC"/>
    <w:rsid w:val="00FA7714"/>
    <w:rsid w:val="00FB3C34"/>
    <w:rsid w:val="00FC1CB5"/>
    <w:rsid w:val="00FD193F"/>
    <w:rsid w:val="00FD48B0"/>
    <w:rsid w:val="00FD4C2F"/>
    <w:rsid w:val="00FE1105"/>
    <w:rsid w:val="00FF2477"/>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1"/>
    <w:qFormat/>
    <w:rsid w:val="001D0716"/>
    <w:pPr>
      <w:jc w:val="both"/>
    </w:pPr>
    <w:rPr>
      <w:szCs w:val="24"/>
      <w:lang w:val="en-GB" w:eastAsia="pl-PL"/>
    </w:rPr>
  </w:style>
  <w:style w:type="paragraph" w:styleId="Heading1">
    <w:name w:val="heading 1"/>
    <w:basedOn w:val="Normal"/>
    <w:next w:val="Normal"/>
    <w:qFormat/>
    <w:rsid w:val="009B1F29"/>
    <w:pPr>
      <w:keepNext/>
      <w:numPr>
        <w:numId w:val="11"/>
      </w:numPr>
      <w:spacing w:before="240" w:after="60"/>
      <w:outlineLvl w:val="0"/>
    </w:pPr>
    <w:rPr>
      <w:rFonts w:cs="Arial"/>
      <w:b/>
      <w:bCs/>
      <w:szCs w:val="20"/>
    </w:rPr>
  </w:style>
  <w:style w:type="paragraph" w:styleId="Heading2">
    <w:name w:val="heading 2"/>
    <w:basedOn w:val="Normal"/>
    <w:next w:val="Normal"/>
    <w:qFormat/>
    <w:rsid w:val="009B1F29"/>
    <w:pPr>
      <w:keepNext/>
      <w:numPr>
        <w:ilvl w:val="1"/>
        <w:numId w:val="11"/>
      </w:numPr>
      <w:spacing w:before="120" w:after="60"/>
      <w:outlineLvl w:val="1"/>
    </w:pPr>
    <w:rPr>
      <w:rFonts w:cs="Arial"/>
      <w:b/>
      <w:bCs/>
      <w:iCs/>
      <w:szCs w:val="28"/>
    </w:rPr>
  </w:style>
  <w:style w:type="paragraph" w:styleId="Heading3">
    <w:name w:val="heading 3"/>
    <w:basedOn w:val="Normal"/>
    <w:next w:val="Normal"/>
    <w:qFormat/>
    <w:rsid w:val="009B1F29"/>
    <w:pPr>
      <w:keepNext/>
      <w:numPr>
        <w:ilvl w:val="2"/>
        <w:numId w:val="11"/>
      </w:numPr>
      <w:spacing w:before="120"/>
      <w:outlineLvl w:val="2"/>
    </w:pPr>
    <w:rPr>
      <w:rFonts w:cs="Arial"/>
      <w:b/>
      <w:bCs/>
      <w:szCs w:val="26"/>
    </w:rPr>
  </w:style>
  <w:style w:type="paragraph" w:styleId="Heading4">
    <w:name w:val="heading 4"/>
    <w:basedOn w:val="Normal"/>
    <w:next w:val="Normal"/>
    <w:qFormat/>
    <w:rsid w:val="009B1F29"/>
    <w:pPr>
      <w:keepNext/>
      <w:numPr>
        <w:ilvl w:val="3"/>
        <w:numId w:val="11"/>
      </w:numPr>
      <w:outlineLvl w:val="3"/>
    </w:pPr>
    <w:rPr>
      <w:bCs/>
      <w:szCs w:val="28"/>
    </w:rPr>
  </w:style>
  <w:style w:type="paragraph" w:styleId="Heading5">
    <w:name w:val="heading 5"/>
    <w:basedOn w:val="Normal"/>
    <w:next w:val="Normal"/>
    <w:qFormat/>
    <w:rsid w:val="009B1F29"/>
    <w:pPr>
      <w:numPr>
        <w:ilvl w:val="4"/>
        <w:numId w:val="11"/>
      </w:numPr>
      <w:outlineLvl w:val="4"/>
    </w:pPr>
    <w:rPr>
      <w:bCs/>
      <w:iCs/>
      <w:szCs w:val="26"/>
    </w:rPr>
  </w:style>
  <w:style w:type="paragraph" w:styleId="Heading6">
    <w:name w:val="heading 6"/>
    <w:basedOn w:val="Normal"/>
    <w:next w:val="Normal"/>
    <w:qFormat/>
    <w:rsid w:val="009B1F29"/>
    <w:pPr>
      <w:numPr>
        <w:ilvl w:val="5"/>
        <w:numId w:val="11"/>
      </w:numPr>
      <w:outlineLvl w:val="5"/>
    </w:pPr>
    <w:rPr>
      <w:bCs/>
      <w:szCs w:val="22"/>
    </w:rPr>
  </w:style>
  <w:style w:type="paragraph" w:styleId="Heading7">
    <w:name w:val="heading 7"/>
    <w:basedOn w:val="Normal"/>
    <w:next w:val="Normal"/>
    <w:qFormat/>
    <w:rsid w:val="009B1F29"/>
    <w:pPr>
      <w:numPr>
        <w:ilvl w:val="6"/>
        <w:numId w:val="11"/>
      </w:numPr>
      <w:outlineLvl w:val="6"/>
    </w:pPr>
  </w:style>
  <w:style w:type="paragraph" w:styleId="Heading8">
    <w:name w:val="heading 8"/>
    <w:basedOn w:val="Normal"/>
    <w:next w:val="Normal"/>
    <w:qFormat/>
    <w:rsid w:val="009B1F29"/>
    <w:pPr>
      <w:numPr>
        <w:ilvl w:val="7"/>
        <w:numId w:val="11"/>
      </w:numPr>
      <w:outlineLvl w:val="7"/>
    </w:pPr>
    <w:rPr>
      <w:iCs/>
    </w:rPr>
  </w:style>
  <w:style w:type="paragraph" w:styleId="Heading9">
    <w:name w:val="heading 9"/>
    <w:basedOn w:val="Normal"/>
    <w:next w:val="Normal"/>
    <w:qFormat/>
    <w:rsid w:val="009B1F29"/>
    <w:pPr>
      <w:numPr>
        <w:ilvl w:val="8"/>
        <w:numId w:val="1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1D0716"/>
    <w:pPr>
      <w:spacing w:after="240"/>
      <w:jc w:val="center"/>
    </w:pPr>
    <w:rPr>
      <w:b/>
      <w:bCs/>
      <w:sz w:val="32"/>
      <w:szCs w:val="20"/>
    </w:rPr>
  </w:style>
  <w:style w:type="paragraph" w:customStyle="1" w:styleId="Authors">
    <w:name w:val="Authors"/>
    <w:basedOn w:val="Normal"/>
    <w:rsid w:val="001D0716"/>
    <w:pPr>
      <w:jc w:val="center"/>
    </w:pPr>
    <w:rPr>
      <w:b/>
      <w:bCs/>
      <w:szCs w:val="20"/>
    </w:rPr>
  </w:style>
  <w:style w:type="paragraph" w:customStyle="1" w:styleId="Afiliations">
    <w:name w:val="Afiliations"/>
    <w:basedOn w:val="Normal"/>
    <w:rsid w:val="001D0716"/>
    <w:pPr>
      <w:jc w:val="center"/>
    </w:pPr>
    <w:rPr>
      <w:i/>
      <w:iCs/>
      <w:szCs w:val="20"/>
    </w:rPr>
  </w:style>
  <w:style w:type="paragraph" w:customStyle="1" w:styleId="Abstracttitle">
    <w:name w:val="Abstract (title)"/>
    <w:basedOn w:val="Normal"/>
    <w:rsid w:val="001D0716"/>
    <w:pPr>
      <w:spacing w:before="120"/>
    </w:pPr>
    <w:rPr>
      <w:b/>
      <w:bCs/>
      <w:szCs w:val="20"/>
    </w:rPr>
  </w:style>
  <w:style w:type="paragraph" w:customStyle="1" w:styleId="Keywords">
    <w:name w:val="Keywords"/>
    <w:basedOn w:val="Normal"/>
    <w:rsid w:val="006212D2"/>
    <w:pPr>
      <w:ind w:left="993" w:hanging="993"/>
      <w:jc w:val="left"/>
    </w:pPr>
    <w:rPr>
      <w:szCs w:val="20"/>
    </w:rPr>
  </w:style>
  <w:style w:type="paragraph" w:customStyle="1" w:styleId="Text">
    <w:name w:val="Text"/>
    <w:basedOn w:val="Normal"/>
    <w:rsid w:val="009B1F29"/>
    <w:pPr>
      <w:ind w:firstLine="142"/>
    </w:pPr>
    <w:rPr>
      <w:szCs w:val="20"/>
    </w:rPr>
  </w:style>
  <w:style w:type="character" w:styleId="FollowedHyperlink">
    <w:name w:val="FollowedHyperlink"/>
    <w:basedOn w:val="DefaultParagraphFont"/>
    <w:rsid w:val="00B317A3"/>
    <w:rPr>
      <w:color w:val="800080"/>
      <w:u w:val="single"/>
    </w:rPr>
  </w:style>
  <w:style w:type="numbering" w:customStyle="1" w:styleId="StylListKonspektynumerowane">
    <w:name w:val="Styl List + Konspekty numerowane"/>
    <w:basedOn w:val="NoList"/>
    <w:rsid w:val="00DA42E7"/>
    <w:pPr>
      <w:numPr>
        <w:numId w:val="38"/>
      </w:numPr>
    </w:pPr>
  </w:style>
  <w:style w:type="paragraph" w:customStyle="1" w:styleId="Equation">
    <w:name w:val="Equation"/>
    <w:basedOn w:val="Normal"/>
    <w:rsid w:val="008B1B99"/>
    <w:pPr>
      <w:spacing w:before="60" w:after="60"/>
      <w:jc w:val="center"/>
    </w:pPr>
    <w:rPr>
      <w:szCs w:val="20"/>
    </w:rPr>
  </w:style>
  <w:style w:type="table" w:styleId="TableGrid">
    <w:name w:val="Table Grid"/>
    <w:basedOn w:val="TableNormal"/>
    <w:rsid w:val="008B1B9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Normal"/>
    <w:rsid w:val="008B1B99"/>
    <w:pPr>
      <w:spacing w:before="120" w:after="60"/>
      <w:jc w:val="left"/>
    </w:pPr>
    <w:rPr>
      <w:i/>
      <w:iCs/>
      <w:szCs w:val="20"/>
    </w:rPr>
  </w:style>
  <w:style w:type="paragraph" w:customStyle="1" w:styleId="Figurecaption">
    <w:name w:val="Figure caption"/>
    <w:basedOn w:val="Normal"/>
    <w:rsid w:val="00895758"/>
    <w:pPr>
      <w:spacing w:after="120"/>
      <w:jc w:val="center"/>
    </w:pPr>
    <w:rPr>
      <w:i/>
      <w:iCs/>
      <w:szCs w:val="20"/>
    </w:rPr>
  </w:style>
  <w:style w:type="paragraph" w:customStyle="1" w:styleId="Figure">
    <w:name w:val="Figure"/>
    <w:basedOn w:val="Normal"/>
    <w:rsid w:val="00895758"/>
    <w:pPr>
      <w:spacing w:before="120" w:after="60"/>
      <w:jc w:val="center"/>
    </w:pPr>
    <w:rPr>
      <w:szCs w:val="20"/>
    </w:rPr>
  </w:style>
  <w:style w:type="paragraph" w:customStyle="1" w:styleId="ACKNOWLEDGEMENT">
    <w:name w:val="ACKNOWLEDGEMENT"/>
    <w:basedOn w:val="Normal"/>
    <w:rsid w:val="00895758"/>
    <w:pPr>
      <w:spacing w:before="240" w:after="60"/>
      <w:jc w:val="left"/>
    </w:pPr>
    <w:rPr>
      <w:b/>
      <w:bCs/>
      <w:szCs w:val="20"/>
    </w:rPr>
  </w:style>
  <w:style w:type="paragraph" w:customStyle="1" w:styleId="References">
    <w:name w:val="References"/>
    <w:basedOn w:val="Normal"/>
    <w:rsid w:val="00895758"/>
    <w:pPr>
      <w:numPr>
        <w:numId w:val="43"/>
      </w:numPr>
      <w:jc w:val="left"/>
    </w:pPr>
  </w:style>
  <w:style w:type="character" w:styleId="Hyperlink">
    <w:name w:val="Hyperlink"/>
    <w:basedOn w:val="DefaultParagraphFont"/>
    <w:rsid w:val="00CB02E4"/>
    <w:rPr>
      <w:color w:val="0000FF"/>
      <w:u w:val="single"/>
    </w:rPr>
  </w:style>
  <w:style w:type="character" w:styleId="CommentReference">
    <w:name w:val="annotation reference"/>
    <w:basedOn w:val="DefaultParagraphFont"/>
    <w:rsid w:val="001B4D4A"/>
    <w:rPr>
      <w:sz w:val="16"/>
      <w:szCs w:val="16"/>
    </w:rPr>
  </w:style>
  <w:style w:type="paragraph" w:styleId="CommentText">
    <w:name w:val="annotation text"/>
    <w:basedOn w:val="Normal"/>
    <w:link w:val="CommentTextChar"/>
    <w:rsid w:val="001B4D4A"/>
    <w:rPr>
      <w:szCs w:val="20"/>
    </w:rPr>
  </w:style>
  <w:style w:type="character" w:customStyle="1" w:styleId="CommentTextChar">
    <w:name w:val="Comment Text Char"/>
    <w:basedOn w:val="DefaultParagraphFont"/>
    <w:link w:val="CommentText"/>
    <w:rsid w:val="001B4D4A"/>
    <w:rPr>
      <w:lang w:val="en-GB" w:eastAsia="pl-PL"/>
    </w:rPr>
  </w:style>
  <w:style w:type="paragraph" w:styleId="CommentSubject">
    <w:name w:val="annotation subject"/>
    <w:basedOn w:val="CommentText"/>
    <w:next w:val="CommentText"/>
    <w:link w:val="CommentSubjectChar"/>
    <w:rsid w:val="001B4D4A"/>
    <w:rPr>
      <w:b/>
      <w:bCs/>
    </w:rPr>
  </w:style>
  <w:style w:type="character" w:customStyle="1" w:styleId="CommentSubjectChar">
    <w:name w:val="Comment Subject Char"/>
    <w:basedOn w:val="CommentTextChar"/>
    <w:link w:val="CommentSubject"/>
    <w:rsid w:val="001B4D4A"/>
    <w:rPr>
      <w:b/>
      <w:bCs/>
    </w:rPr>
  </w:style>
  <w:style w:type="paragraph" w:styleId="BalloonText">
    <w:name w:val="Balloon Text"/>
    <w:basedOn w:val="Normal"/>
    <w:link w:val="BalloonTextChar"/>
    <w:rsid w:val="001B4D4A"/>
    <w:rPr>
      <w:rFonts w:ascii="Tahoma" w:hAnsi="Tahoma" w:cs="Tahoma"/>
      <w:sz w:val="16"/>
      <w:szCs w:val="16"/>
    </w:rPr>
  </w:style>
  <w:style w:type="character" w:customStyle="1" w:styleId="BalloonTextChar">
    <w:name w:val="Balloon Text Char"/>
    <w:basedOn w:val="DefaultParagraphFont"/>
    <w:link w:val="BalloonText"/>
    <w:rsid w:val="001B4D4A"/>
    <w:rPr>
      <w:rFonts w:ascii="Tahoma" w:hAnsi="Tahoma" w:cs="Tahoma"/>
      <w:sz w:val="16"/>
      <w:szCs w:val="16"/>
      <w:lang w:val="en-GB" w:eastAsia="pl-PL"/>
    </w:rPr>
  </w:style>
</w:styles>
</file>

<file path=word/webSettings.xml><?xml version="1.0" encoding="utf-8"?>
<w:webSettings xmlns:r="http://schemas.openxmlformats.org/officeDocument/2006/relationships" xmlns:w="http://schemas.openxmlformats.org/wordprocessingml/2006/main">
  <w:encoding w:val="us-ascii"/>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1AA69F-E5E9-4C89-8A77-C2FCC864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2231</Words>
  <Characters>14060</Characters>
  <Application>Microsoft Office Word</Application>
  <DocSecurity>0</DocSecurity>
  <Lines>117</Lines>
  <Paragraphs>32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Instructions for Preparing Camera-ready Manuscripts for</vt:lpstr>
      <vt:lpstr>Instructions for Preparing Camera-ready Manuscripts for</vt:lpstr>
    </vt:vector>
  </TitlesOfParts>
  <Company/>
  <LinksUpToDate>false</LinksUpToDate>
  <CharactersWithSpaces>16259</CharactersWithSpaces>
  <SharedDoc>false</SharedDoc>
  <HLinks>
    <vt:vector size="12" baseType="variant">
      <vt:variant>
        <vt:i4>589887</vt:i4>
      </vt:variant>
      <vt:variant>
        <vt:i4>6</vt:i4>
      </vt:variant>
      <vt:variant>
        <vt:i4>0</vt:i4>
      </vt:variant>
      <vt:variant>
        <vt:i4>5</vt:i4>
      </vt:variant>
      <vt:variant>
        <vt:lpwstr>http://www.ieee.org/publications_standards/publications/rights/copyrightmain.html</vt:lpwstr>
      </vt:variant>
      <vt:variant>
        <vt:lpwstr/>
      </vt:variant>
      <vt:variant>
        <vt:i4>5767243</vt:i4>
      </vt:variant>
      <vt:variant>
        <vt:i4>0</vt:i4>
      </vt:variant>
      <vt:variant>
        <vt:i4>0</vt:i4>
      </vt:variant>
      <vt:variant>
        <vt:i4>5</vt:i4>
      </vt:variant>
      <vt:variant>
        <vt:lpwstr>http://www.mathtype.com/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Camera-ready Manuscripts for</dc:title>
  <dc:creator>mjaworsk</dc:creator>
  <cp:lastModifiedBy>BS</cp:lastModifiedBy>
  <cp:revision>89</cp:revision>
  <dcterms:created xsi:type="dcterms:W3CDTF">2015-03-28T21:52:00Z</dcterms:created>
  <dcterms:modified xsi:type="dcterms:W3CDTF">2015-03-31T16:59:00Z</dcterms:modified>
</cp:coreProperties>
</file>